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96" w:rsidRPr="006F7498" w:rsidRDefault="00B75C96" w:rsidP="00B75C96">
      <w:pPr>
        <w:jc w:val="center"/>
        <w:rPr>
          <w:b/>
          <w:sz w:val="22"/>
          <w:szCs w:val="22"/>
        </w:rPr>
      </w:pPr>
      <w:r>
        <w:rPr>
          <w:b/>
          <w:noProof/>
          <w:sz w:val="22"/>
          <w:szCs w:val="22"/>
        </w:rPr>
        <w:drawing>
          <wp:inline distT="0" distB="0" distL="0" distR="0">
            <wp:extent cx="638175" cy="895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8175" cy="895350"/>
                    </a:xfrm>
                    <a:prstGeom prst="rect">
                      <a:avLst/>
                    </a:prstGeom>
                    <a:noFill/>
                    <a:ln w="9525">
                      <a:noFill/>
                      <a:miter lim="800000"/>
                      <a:headEnd/>
                      <a:tailEnd/>
                    </a:ln>
                  </pic:spPr>
                </pic:pic>
              </a:graphicData>
            </a:graphic>
          </wp:inline>
        </w:drawing>
      </w:r>
    </w:p>
    <w:p w:rsidR="00B75C96" w:rsidRPr="006F7498" w:rsidRDefault="00B75C96" w:rsidP="00B75C96">
      <w:pPr>
        <w:jc w:val="center"/>
        <w:rPr>
          <w:b/>
          <w:sz w:val="22"/>
          <w:szCs w:val="22"/>
        </w:rPr>
      </w:pPr>
      <w:r w:rsidRPr="006F7498">
        <w:rPr>
          <w:b/>
          <w:sz w:val="22"/>
          <w:szCs w:val="22"/>
        </w:rPr>
        <w:t xml:space="preserve">                                                                                                                                                                                                                                                                                                                                                                                                                                                                                                                                                                                                         </w:t>
      </w:r>
    </w:p>
    <w:p w:rsidR="00B75C96" w:rsidRPr="009A3A89" w:rsidRDefault="00B75C96" w:rsidP="00B75C96">
      <w:pPr>
        <w:jc w:val="center"/>
        <w:rPr>
          <w:b/>
          <w:sz w:val="26"/>
          <w:szCs w:val="26"/>
        </w:rPr>
      </w:pPr>
      <w:r w:rsidRPr="009A3A89">
        <w:rPr>
          <w:b/>
          <w:sz w:val="26"/>
          <w:szCs w:val="26"/>
        </w:rPr>
        <w:t>РОССИЙСКАЯ ФЕДЕРАЦИЯ</w:t>
      </w:r>
    </w:p>
    <w:p w:rsidR="00B75C96" w:rsidRPr="009A3A89" w:rsidRDefault="00B75C96" w:rsidP="00B75C96">
      <w:pPr>
        <w:pBdr>
          <w:bottom w:val="single" w:sz="12" w:space="1" w:color="auto"/>
        </w:pBdr>
        <w:jc w:val="center"/>
        <w:rPr>
          <w:b/>
          <w:sz w:val="26"/>
          <w:szCs w:val="26"/>
        </w:rPr>
      </w:pPr>
      <w:r w:rsidRPr="009A3A89">
        <w:rPr>
          <w:b/>
          <w:sz w:val="26"/>
          <w:szCs w:val="26"/>
        </w:rPr>
        <w:t>ПРИМОРСКИЙ КРАЙ</w:t>
      </w:r>
      <w:r w:rsidRPr="009A3A89">
        <w:rPr>
          <w:b/>
          <w:sz w:val="26"/>
          <w:szCs w:val="26"/>
        </w:rPr>
        <w:br/>
        <w:t>ДУМА НАХОДКИНСКОГО ГОРОДСКОГО ОКРУГА</w:t>
      </w:r>
    </w:p>
    <w:p w:rsidR="00B75C96" w:rsidRPr="006F7498" w:rsidRDefault="00B75C96" w:rsidP="00B75C96">
      <w:pPr>
        <w:pBdr>
          <w:bottom w:val="single" w:sz="12" w:space="1" w:color="auto"/>
        </w:pBdr>
        <w:jc w:val="center"/>
        <w:rPr>
          <w:b/>
          <w:sz w:val="36"/>
          <w:szCs w:val="36"/>
        </w:rPr>
      </w:pPr>
    </w:p>
    <w:p w:rsidR="00B75C96" w:rsidRDefault="00B75C96" w:rsidP="00B75C96"/>
    <w:p w:rsidR="00B75C96" w:rsidRPr="009A3A89" w:rsidRDefault="000D0C4E" w:rsidP="00B75C96">
      <w:pPr>
        <w:jc w:val="center"/>
        <w:rPr>
          <w:b/>
          <w:sz w:val="26"/>
          <w:szCs w:val="26"/>
        </w:rPr>
      </w:pPr>
      <w:r>
        <w:rPr>
          <w:b/>
          <w:sz w:val="26"/>
          <w:szCs w:val="26"/>
        </w:rPr>
        <w:t>РЕШЕНИЕ</w:t>
      </w:r>
    </w:p>
    <w:p w:rsidR="00B75C96" w:rsidRPr="003A62D0" w:rsidRDefault="000B7894" w:rsidP="00B75C96">
      <w:pPr>
        <w:ind w:right="-185"/>
        <w:rPr>
          <w:sz w:val="26"/>
          <w:szCs w:val="26"/>
        </w:rPr>
      </w:pPr>
      <w:r>
        <w:rPr>
          <w:sz w:val="26"/>
          <w:szCs w:val="26"/>
        </w:rPr>
        <w:t>21</w:t>
      </w:r>
      <w:r w:rsidR="00FD2DE4">
        <w:rPr>
          <w:sz w:val="26"/>
          <w:szCs w:val="26"/>
        </w:rPr>
        <w:t>.0</w:t>
      </w:r>
      <w:r w:rsidR="00A00450">
        <w:rPr>
          <w:sz w:val="26"/>
          <w:szCs w:val="26"/>
        </w:rPr>
        <w:t>6</w:t>
      </w:r>
      <w:r w:rsidR="00FD2DE4">
        <w:rPr>
          <w:sz w:val="26"/>
          <w:szCs w:val="26"/>
        </w:rPr>
        <w:t>.2013</w:t>
      </w:r>
      <w:r w:rsidR="00B75C96" w:rsidRPr="00AC770A">
        <w:rPr>
          <w:sz w:val="26"/>
          <w:szCs w:val="26"/>
        </w:rPr>
        <w:t xml:space="preserve">                                                                                       </w:t>
      </w:r>
      <w:r w:rsidR="000D5C2B">
        <w:rPr>
          <w:sz w:val="26"/>
          <w:szCs w:val="26"/>
        </w:rPr>
        <w:t xml:space="preserve">                </w:t>
      </w:r>
      <w:r w:rsidR="00217919">
        <w:rPr>
          <w:sz w:val="26"/>
          <w:szCs w:val="26"/>
        </w:rPr>
        <w:t>№</w:t>
      </w:r>
      <w:r>
        <w:rPr>
          <w:sz w:val="26"/>
          <w:szCs w:val="26"/>
        </w:rPr>
        <w:t xml:space="preserve"> 215-</w:t>
      </w:r>
      <w:r w:rsidR="00217919">
        <w:rPr>
          <w:sz w:val="26"/>
          <w:szCs w:val="26"/>
        </w:rPr>
        <w:t>НПА</w:t>
      </w:r>
    </w:p>
    <w:p w:rsidR="00B75C96" w:rsidRPr="009A3A89" w:rsidRDefault="00B75C96" w:rsidP="00B75C96">
      <w:pPr>
        <w:jc w:val="center"/>
        <w:rPr>
          <w:sz w:val="26"/>
          <w:szCs w:val="26"/>
        </w:rPr>
      </w:pPr>
    </w:p>
    <w:p w:rsidR="002A275F" w:rsidRPr="000B7894" w:rsidRDefault="00C61DE8" w:rsidP="00A00450">
      <w:pPr>
        <w:pStyle w:val="ConsPlusTitle"/>
        <w:jc w:val="center"/>
        <w:rPr>
          <w:rFonts w:ascii="Times New Roman" w:hAnsi="Times New Roman" w:cs="Times New Roman"/>
          <w:b w:val="0"/>
          <w:sz w:val="26"/>
          <w:szCs w:val="26"/>
        </w:rPr>
      </w:pPr>
      <w:r w:rsidRPr="000B7894">
        <w:rPr>
          <w:rFonts w:ascii="Times New Roman" w:hAnsi="Times New Roman" w:cs="Times New Roman"/>
          <w:b w:val="0"/>
          <w:sz w:val="26"/>
          <w:szCs w:val="26"/>
        </w:rPr>
        <w:t>О внесении изменений</w:t>
      </w:r>
      <w:r w:rsidR="00B75C96" w:rsidRPr="000B7894">
        <w:rPr>
          <w:rFonts w:ascii="Times New Roman" w:hAnsi="Times New Roman" w:cs="Times New Roman"/>
          <w:b w:val="0"/>
          <w:sz w:val="26"/>
          <w:szCs w:val="26"/>
        </w:rPr>
        <w:t xml:space="preserve"> в</w:t>
      </w:r>
      <w:r w:rsidR="000D5C2B" w:rsidRPr="000B7894">
        <w:rPr>
          <w:rFonts w:ascii="Times New Roman" w:hAnsi="Times New Roman" w:cs="Times New Roman"/>
          <w:b w:val="0"/>
          <w:sz w:val="26"/>
          <w:szCs w:val="26"/>
        </w:rPr>
        <w:t xml:space="preserve"> </w:t>
      </w:r>
      <w:r w:rsidR="00A00450" w:rsidRPr="000B7894">
        <w:rPr>
          <w:rFonts w:ascii="Times New Roman" w:hAnsi="Times New Roman" w:cs="Times New Roman"/>
          <w:b w:val="0"/>
          <w:sz w:val="26"/>
          <w:szCs w:val="26"/>
        </w:rPr>
        <w:t xml:space="preserve">  Программу комплексного развития систем коммунальной инфраструктуры Находкинского городского округа на  2013 - 2017 годы и на период до 2025 года </w:t>
      </w:r>
      <w:r w:rsidR="00A8744D" w:rsidRPr="000B7894">
        <w:rPr>
          <w:rFonts w:ascii="Times New Roman" w:hAnsi="Times New Roman" w:cs="Times New Roman"/>
          <w:b w:val="0"/>
          <w:sz w:val="26"/>
          <w:szCs w:val="26"/>
        </w:rPr>
        <w:t xml:space="preserve">от </w:t>
      </w:r>
      <w:r w:rsidR="00A00450" w:rsidRPr="000B7894">
        <w:rPr>
          <w:rFonts w:ascii="Times New Roman" w:hAnsi="Times New Roman" w:cs="Times New Roman"/>
          <w:b w:val="0"/>
          <w:sz w:val="26"/>
          <w:szCs w:val="26"/>
        </w:rPr>
        <w:t>26.1</w:t>
      </w:r>
      <w:r w:rsidR="006B4AB6" w:rsidRPr="000B7894">
        <w:rPr>
          <w:rFonts w:ascii="Times New Roman" w:hAnsi="Times New Roman" w:cs="Times New Roman"/>
          <w:b w:val="0"/>
          <w:sz w:val="26"/>
          <w:szCs w:val="26"/>
        </w:rPr>
        <w:t>2</w:t>
      </w:r>
      <w:r w:rsidR="00A8744D" w:rsidRPr="000B7894">
        <w:rPr>
          <w:rFonts w:ascii="Times New Roman" w:hAnsi="Times New Roman" w:cs="Times New Roman"/>
          <w:b w:val="0"/>
          <w:sz w:val="26"/>
          <w:szCs w:val="26"/>
        </w:rPr>
        <w:t>.20</w:t>
      </w:r>
      <w:r w:rsidR="006B4AB6" w:rsidRPr="000B7894">
        <w:rPr>
          <w:rFonts w:ascii="Times New Roman" w:hAnsi="Times New Roman" w:cs="Times New Roman"/>
          <w:b w:val="0"/>
          <w:sz w:val="26"/>
          <w:szCs w:val="26"/>
        </w:rPr>
        <w:t>12</w:t>
      </w:r>
      <w:r w:rsidR="00A8744D" w:rsidRPr="000B7894">
        <w:rPr>
          <w:rFonts w:ascii="Times New Roman" w:hAnsi="Times New Roman" w:cs="Times New Roman"/>
          <w:b w:val="0"/>
          <w:sz w:val="26"/>
          <w:szCs w:val="26"/>
        </w:rPr>
        <w:t xml:space="preserve"> № </w:t>
      </w:r>
      <w:r w:rsidR="00A00450" w:rsidRPr="000B7894">
        <w:rPr>
          <w:rFonts w:ascii="Times New Roman" w:hAnsi="Times New Roman" w:cs="Times New Roman"/>
          <w:b w:val="0"/>
          <w:sz w:val="26"/>
          <w:szCs w:val="26"/>
        </w:rPr>
        <w:t>135</w:t>
      </w:r>
      <w:r w:rsidR="00A8744D" w:rsidRPr="000B7894">
        <w:rPr>
          <w:rFonts w:ascii="Times New Roman" w:hAnsi="Times New Roman" w:cs="Times New Roman"/>
          <w:b w:val="0"/>
          <w:sz w:val="26"/>
          <w:szCs w:val="26"/>
        </w:rPr>
        <w:t>-</w:t>
      </w:r>
      <w:r w:rsidR="006B4AB6" w:rsidRPr="000B7894">
        <w:rPr>
          <w:rFonts w:ascii="Times New Roman" w:hAnsi="Times New Roman" w:cs="Times New Roman"/>
          <w:b w:val="0"/>
          <w:sz w:val="26"/>
          <w:szCs w:val="26"/>
        </w:rPr>
        <w:t>НПА</w:t>
      </w:r>
      <w:r w:rsidR="00A8744D" w:rsidRPr="000B7894">
        <w:rPr>
          <w:rFonts w:ascii="Times New Roman" w:hAnsi="Times New Roman" w:cs="Times New Roman"/>
          <w:b w:val="0"/>
          <w:sz w:val="26"/>
          <w:szCs w:val="26"/>
        </w:rPr>
        <w:t xml:space="preserve"> </w:t>
      </w:r>
    </w:p>
    <w:p w:rsidR="00A8744D" w:rsidRDefault="00A8744D" w:rsidP="00A8744D">
      <w:pPr>
        <w:tabs>
          <w:tab w:val="left" w:pos="11624"/>
          <w:tab w:val="left" w:pos="12758"/>
        </w:tabs>
        <w:ind w:right="-144"/>
        <w:jc w:val="center"/>
        <w:rPr>
          <w:sz w:val="26"/>
          <w:szCs w:val="26"/>
        </w:rPr>
      </w:pPr>
    </w:p>
    <w:p w:rsidR="00B75C96" w:rsidRPr="00A00450" w:rsidRDefault="00B75C96" w:rsidP="00A00450">
      <w:pPr>
        <w:pStyle w:val="ConsPlusTitle"/>
        <w:ind w:firstLine="709"/>
        <w:jc w:val="both"/>
        <w:rPr>
          <w:rFonts w:ascii="Times New Roman" w:hAnsi="Times New Roman" w:cs="Times New Roman"/>
          <w:b w:val="0"/>
          <w:sz w:val="26"/>
          <w:szCs w:val="26"/>
        </w:rPr>
      </w:pPr>
      <w:r w:rsidRPr="00A00450">
        <w:rPr>
          <w:rFonts w:ascii="Times New Roman" w:hAnsi="Times New Roman" w:cs="Times New Roman"/>
          <w:b w:val="0"/>
          <w:sz w:val="26"/>
          <w:szCs w:val="26"/>
        </w:rPr>
        <w:t xml:space="preserve">1. </w:t>
      </w:r>
      <w:r w:rsidR="00FD2DE4" w:rsidRPr="00A00450">
        <w:rPr>
          <w:rFonts w:ascii="Times New Roman" w:hAnsi="Times New Roman" w:cs="Times New Roman"/>
          <w:b w:val="0"/>
          <w:sz w:val="26"/>
          <w:szCs w:val="26"/>
        </w:rPr>
        <w:t>В</w:t>
      </w:r>
      <w:r w:rsidR="00460B38" w:rsidRPr="00A00450">
        <w:rPr>
          <w:rFonts w:ascii="Times New Roman" w:hAnsi="Times New Roman" w:cs="Times New Roman"/>
          <w:b w:val="0"/>
          <w:sz w:val="26"/>
          <w:szCs w:val="26"/>
        </w:rPr>
        <w:t>нести в</w:t>
      </w:r>
      <w:r w:rsidR="00A00450" w:rsidRPr="00A00450">
        <w:rPr>
          <w:rFonts w:ascii="Times New Roman" w:hAnsi="Times New Roman" w:cs="Times New Roman"/>
          <w:b w:val="0"/>
          <w:sz w:val="26"/>
          <w:szCs w:val="26"/>
        </w:rPr>
        <w:t xml:space="preserve"> Программу комплексного развития систем коммунальной инфраструктуры Находкинского городского округа на  2013 - 2017 годы и на период до 2025 года от 26.12.2012 № 135-НПА</w:t>
      </w:r>
      <w:r w:rsidR="00A8744D" w:rsidRPr="00A00450">
        <w:rPr>
          <w:rFonts w:ascii="Times New Roman" w:hAnsi="Times New Roman" w:cs="Times New Roman"/>
          <w:b w:val="0"/>
          <w:sz w:val="26"/>
          <w:szCs w:val="26"/>
        </w:rPr>
        <w:t>,</w:t>
      </w:r>
      <w:r w:rsidR="00A00450">
        <w:rPr>
          <w:rFonts w:ascii="Times New Roman" w:hAnsi="Times New Roman" w:cs="Times New Roman"/>
          <w:b w:val="0"/>
          <w:sz w:val="26"/>
          <w:szCs w:val="26"/>
        </w:rPr>
        <w:t xml:space="preserve"> (</w:t>
      </w:r>
      <w:r w:rsidR="00A00450" w:rsidRPr="00A00450">
        <w:rPr>
          <w:rFonts w:ascii="Times New Roman" w:hAnsi="Times New Roman" w:cs="Times New Roman"/>
          <w:b w:val="0"/>
          <w:sz w:val="26"/>
          <w:szCs w:val="26"/>
        </w:rPr>
        <w:t>Находкинский рабочий» № 21 от 27 декабря 2012, стр. 5-22)</w:t>
      </w:r>
      <w:r w:rsidR="00A8744D" w:rsidRPr="00A00450">
        <w:rPr>
          <w:rFonts w:ascii="Times New Roman" w:hAnsi="Times New Roman" w:cs="Times New Roman"/>
          <w:b w:val="0"/>
          <w:sz w:val="26"/>
          <w:szCs w:val="26"/>
        </w:rPr>
        <w:t xml:space="preserve"> </w:t>
      </w:r>
      <w:r w:rsidRPr="00A00450">
        <w:rPr>
          <w:rFonts w:ascii="Times New Roman" w:hAnsi="Times New Roman" w:cs="Times New Roman"/>
          <w:b w:val="0"/>
          <w:sz w:val="26"/>
          <w:szCs w:val="26"/>
        </w:rPr>
        <w:t>следующ</w:t>
      </w:r>
      <w:r w:rsidR="0097690A" w:rsidRPr="00A00450">
        <w:rPr>
          <w:rFonts w:ascii="Times New Roman" w:hAnsi="Times New Roman" w:cs="Times New Roman"/>
          <w:b w:val="0"/>
          <w:sz w:val="26"/>
          <w:szCs w:val="26"/>
        </w:rPr>
        <w:t>и</w:t>
      </w:r>
      <w:r w:rsidRPr="00A00450">
        <w:rPr>
          <w:rFonts w:ascii="Times New Roman" w:hAnsi="Times New Roman" w:cs="Times New Roman"/>
          <w:b w:val="0"/>
          <w:sz w:val="26"/>
          <w:szCs w:val="26"/>
        </w:rPr>
        <w:t>е изменени</w:t>
      </w:r>
      <w:r w:rsidR="0097690A" w:rsidRPr="00A00450">
        <w:rPr>
          <w:rFonts w:ascii="Times New Roman" w:hAnsi="Times New Roman" w:cs="Times New Roman"/>
          <w:b w:val="0"/>
          <w:sz w:val="26"/>
          <w:szCs w:val="26"/>
        </w:rPr>
        <w:t>я</w:t>
      </w:r>
      <w:r w:rsidRPr="00A00450">
        <w:rPr>
          <w:rFonts w:ascii="Times New Roman" w:hAnsi="Times New Roman" w:cs="Times New Roman"/>
          <w:b w:val="0"/>
          <w:sz w:val="26"/>
          <w:szCs w:val="26"/>
        </w:rPr>
        <w:t>:</w:t>
      </w:r>
    </w:p>
    <w:p w:rsidR="00074C02" w:rsidRDefault="00753F3A" w:rsidP="006B4AB6">
      <w:pPr>
        <w:tabs>
          <w:tab w:val="left" w:pos="11624"/>
          <w:tab w:val="left" w:pos="12758"/>
        </w:tabs>
        <w:ind w:right="-144" w:firstLine="709"/>
        <w:jc w:val="both"/>
        <w:rPr>
          <w:sz w:val="26"/>
          <w:szCs w:val="26"/>
        </w:rPr>
      </w:pPr>
      <w:r>
        <w:rPr>
          <w:sz w:val="26"/>
          <w:szCs w:val="26"/>
        </w:rPr>
        <w:t xml:space="preserve">1) </w:t>
      </w:r>
      <w:r w:rsidR="00074C02">
        <w:rPr>
          <w:sz w:val="26"/>
          <w:szCs w:val="26"/>
        </w:rPr>
        <w:t>в программной части документа внести следующие изменения:</w:t>
      </w:r>
    </w:p>
    <w:p w:rsidR="00A00450" w:rsidRDefault="00074C02" w:rsidP="006B4AB6">
      <w:pPr>
        <w:tabs>
          <w:tab w:val="left" w:pos="11624"/>
          <w:tab w:val="left" w:pos="12758"/>
        </w:tabs>
        <w:ind w:right="-144" w:firstLine="709"/>
        <w:jc w:val="both"/>
        <w:rPr>
          <w:sz w:val="26"/>
          <w:szCs w:val="26"/>
        </w:rPr>
      </w:pPr>
      <w:r>
        <w:rPr>
          <w:sz w:val="26"/>
          <w:szCs w:val="26"/>
        </w:rPr>
        <w:t>а) в разделе «Паспорт программы» в подраздел «Объем финансирования Программы» изложить в следующей редакции</w:t>
      </w:r>
      <w:r w:rsidR="00A00450">
        <w:rPr>
          <w:sz w:val="26"/>
          <w:szCs w:val="26"/>
        </w:rPr>
        <w:t xml:space="preserve">: </w:t>
      </w:r>
    </w:p>
    <w:p w:rsidR="00A00450" w:rsidRDefault="00A00450" w:rsidP="006B4AB6">
      <w:pPr>
        <w:tabs>
          <w:tab w:val="left" w:pos="11624"/>
          <w:tab w:val="left" w:pos="12758"/>
        </w:tabs>
        <w:ind w:right="-144" w:firstLine="709"/>
        <w:jc w:val="both"/>
        <w:rPr>
          <w:sz w:val="26"/>
          <w:szCs w:val="26"/>
        </w:rPr>
      </w:pPr>
    </w:p>
    <w:tbl>
      <w:tblPr>
        <w:tblW w:w="9498" w:type="dxa"/>
        <w:tblCellSpacing w:w="5" w:type="nil"/>
        <w:tblInd w:w="75" w:type="dxa"/>
        <w:tblLayout w:type="fixed"/>
        <w:tblCellMar>
          <w:left w:w="75" w:type="dxa"/>
          <w:right w:w="75" w:type="dxa"/>
        </w:tblCellMar>
        <w:tblLook w:val="0000"/>
      </w:tblPr>
      <w:tblGrid>
        <w:gridCol w:w="2640"/>
        <w:gridCol w:w="6858"/>
      </w:tblGrid>
      <w:tr w:rsidR="00A00450" w:rsidRPr="00840CD8" w:rsidTr="00C31B73">
        <w:trPr>
          <w:trHeight w:val="600"/>
          <w:tblCellSpacing w:w="5" w:type="nil"/>
        </w:trPr>
        <w:tc>
          <w:tcPr>
            <w:tcW w:w="2640" w:type="dxa"/>
            <w:tcBorders>
              <w:top w:val="single" w:sz="4" w:space="0" w:color="auto"/>
              <w:left w:val="single" w:sz="4" w:space="0" w:color="auto"/>
              <w:bottom w:val="single" w:sz="4" w:space="0" w:color="auto"/>
              <w:right w:val="single" w:sz="4" w:space="0" w:color="auto"/>
            </w:tcBorders>
          </w:tcPr>
          <w:p w:rsidR="00A00450" w:rsidRPr="00952A1F" w:rsidRDefault="00A00450" w:rsidP="009D4B9E">
            <w:pPr>
              <w:pStyle w:val="ConsPlusCell"/>
              <w:rPr>
                <w:rFonts w:ascii="Times New Roman" w:hAnsi="Times New Roman" w:cs="Times New Roman"/>
                <w:sz w:val="25"/>
                <w:szCs w:val="25"/>
              </w:rPr>
            </w:pPr>
            <w:r w:rsidRPr="00952A1F">
              <w:rPr>
                <w:rFonts w:ascii="Times New Roman" w:hAnsi="Times New Roman" w:cs="Times New Roman"/>
                <w:sz w:val="25"/>
                <w:szCs w:val="25"/>
              </w:rPr>
              <w:t xml:space="preserve">Объем </w:t>
            </w:r>
            <w:r w:rsidRPr="00952A1F">
              <w:rPr>
                <w:rFonts w:ascii="Times New Roman" w:hAnsi="Times New Roman" w:cs="Times New Roman"/>
                <w:sz w:val="25"/>
                <w:szCs w:val="25"/>
              </w:rPr>
              <w:br/>
              <w:t xml:space="preserve">финансирования      </w:t>
            </w:r>
            <w:r w:rsidRPr="00952A1F">
              <w:rPr>
                <w:rFonts w:ascii="Times New Roman" w:hAnsi="Times New Roman" w:cs="Times New Roman"/>
                <w:sz w:val="25"/>
                <w:szCs w:val="25"/>
              </w:rPr>
              <w:br/>
              <w:t xml:space="preserve">Программы           </w:t>
            </w:r>
          </w:p>
        </w:tc>
        <w:tc>
          <w:tcPr>
            <w:tcW w:w="6858" w:type="dxa"/>
            <w:tcBorders>
              <w:top w:val="single" w:sz="4" w:space="0" w:color="auto"/>
              <w:left w:val="single" w:sz="4" w:space="0" w:color="auto"/>
              <w:bottom w:val="single" w:sz="4" w:space="0" w:color="auto"/>
              <w:right w:val="single" w:sz="4" w:space="0" w:color="auto"/>
            </w:tcBorders>
          </w:tcPr>
          <w:p w:rsidR="00A00450" w:rsidRPr="00952A1F" w:rsidRDefault="00A00450" w:rsidP="009D4B9E">
            <w:pPr>
              <w:pStyle w:val="ConsPlusCell"/>
              <w:jc w:val="both"/>
              <w:rPr>
                <w:rFonts w:ascii="Times New Roman" w:hAnsi="Times New Roman" w:cs="Times New Roman"/>
                <w:sz w:val="25"/>
                <w:szCs w:val="25"/>
              </w:rPr>
            </w:pPr>
            <w:r w:rsidRPr="00952A1F">
              <w:rPr>
                <w:rFonts w:ascii="Times New Roman" w:hAnsi="Times New Roman" w:cs="Times New Roman"/>
                <w:sz w:val="25"/>
                <w:szCs w:val="25"/>
              </w:rPr>
              <w:t xml:space="preserve">Объем финансирования, необходимый для реализации мероприятий Программы составляет: </w:t>
            </w:r>
          </w:p>
          <w:p w:rsidR="00A00450" w:rsidRPr="00882CFB" w:rsidRDefault="00A00450" w:rsidP="009D4B9E">
            <w:pPr>
              <w:pStyle w:val="ConsPlusNonformat"/>
              <w:jc w:val="both"/>
              <w:rPr>
                <w:rFonts w:ascii="Times New Roman" w:hAnsi="Times New Roman" w:cs="Times New Roman"/>
                <w:sz w:val="25"/>
                <w:szCs w:val="25"/>
              </w:rPr>
            </w:pPr>
            <w:r w:rsidRPr="00952A1F">
              <w:rPr>
                <w:rFonts w:ascii="Times New Roman" w:hAnsi="Times New Roman" w:cs="Times New Roman"/>
                <w:sz w:val="25"/>
                <w:szCs w:val="25"/>
              </w:rPr>
              <w:t xml:space="preserve">- I этап - 2013 - 2017 </w:t>
            </w:r>
            <w:r w:rsidRPr="00882CFB">
              <w:rPr>
                <w:rFonts w:ascii="Times New Roman" w:hAnsi="Times New Roman" w:cs="Times New Roman"/>
                <w:sz w:val="25"/>
                <w:szCs w:val="25"/>
              </w:rPr>
              <w:t>г - 67350,4 млн. руб.</w:t>
            </w:r>
          </w:p>
          <w:p w:rsidR="00A00450" w:rsidRPr="00882CFB" w:rsidRDefault="00A00450" w:rsidP="009D4B9E">
            <w:pPr>
              <w:pStyle w:val="ConsPlusNonformat"/>
              <w:jc w:val="both"/>
              <w:rPr>
                <w:rFonts w:ascii="Times New Roman" w:hAnsi="Times New Roman" w:cs="Times New Roman"/>
                <w:sz w:val="25"/>
                <w:szCs w:val="25"/>
              </w:rPr>
            </w:pPr>
            <w:r w:rsidRPr="00882CFB">
              <w:rPr>
                <w:rFonts w:ascii="Times New Roman" w:hAnsi="Times New Roman" w:cs="Times New Roman"/>
                <w:sz w:val="25"/>
                <w:szCs w:val="25"/>
              </w:rPr>
              <w:t xml:space="preserve">  из них 2014 – 2017 г. – 50300 млн. руб. на строительство         ТЭС ВНХК за счет собственных и заемных средств ОАО «НК Роснефть»</w:t>
            </w:r>
          </w:p>
          <w:p w:rsidR="00A00450" w:rsidRPr="00882CFB" w:rsidRDefault="00A00450" w:rsidP="009D4B9E">
            <w:pPr>
              <w:pStyle w:val="ConsPlusNonformat"/>
              <w:jc w:val="both"/>
              <w:rPr>
                <w:rFonts w:ascii="Times New Roman" w:hAnsi="Times New Roman" w:cs="Times New Roman"/>
                <w:sz w:val="25"/>
                <w:szCs w:val="25"/>
              </w:rPr>
            </w:pPr>
            <w:r w:rsidRPr="00882CFB">
              <w:rPr>
                <w:rFonts w:ascii="Times New Roman" w:hAnsi="Times New Roman" w:cs="Times New Roman"/>
                <w:sz w:val="25"/>
                <w:szCs w:val="25"/>
              </w:rPr>
              <w:t>- II этап - 2018 - 2025 г. -  1349,6 млн. руб.</w:t>
            </w:r>
          </w:p>
          <w:p w:rsidR="00A00450" w:rsidRPr="00882CFB" w:rsidRDefault="00A00450" w:rsidP="009D4B9E">
            <w:pPr>
              <w:pStyle w:val="ConsPlusNonformat"/>
              <w:jc w:val="both"/>
              <w:rPr>
                <w:rFonts w:ascii="Times New Roman" w:hAnsi="Times New Roman" w:cs="Times New Roman"/>
                <w:sz w:val="25"/>
                <w:szCs w:val="25"/>
              </w:rPr>
            </w:pPr>
            <w:r w:rsidRPr="00882CFB">
              <w:rPr>
                <w:rFonts w:ascii="Times New Roman" w:hAnsi="Times New Roman" w:cs="Times New Roman"/>
                <w:sz w:val="25"/>
                <w:szCs w:val="25"/>
              </w:rPr>
              <w:t>Всего 68 699,9 млн. руб.</w:t>
            </w:r>
          </w:p>
          <w:p w:rsidR="00A00450" w:rsidRPr="00952A1F" w:rsidRDefault="00A00450" w:rsidP="009D4B9E">
            <w:pPr>
              <w:pStyle w:val="ConsPlusNonformat"/>
              <w:jc w:val="both"/>
              <w:rPr>
                <w:rFonts w:ascii="Times New Roman" w:hAnsi="Times New Roman" w:cs="Times New Roman"/>
                <w:sz w:val="25"/>
                <w:szCs w:val="25"/>
              </w:rPr>
            </w:pPr>
            <w:r w:rsidRPr="00882CFB">
              <w:rPr>
                <w:rFonts w:ascii="Times New Roman" w:hAnsi="Times New Roman" w:cs="Times New Roman"/>
                <w:sz w:val="25"/>
                <w:szCs w:val="25"/>
              </w:rPr>
              <w:t>Основными источниками финансирования</w:t>
            </w:r>
            <w:r w:rsidRPr="00952A1F">
              <w:rPr>
                <w:rFonts w:ascii="Times New Roman" w:hAnsi="Times New Roman" w:cs="Times New Roman"/>
                <w:sz w:val="25"/>
                <w:szCs w:val="25"/>
              </w:rPr>
              <w:t xml:space="preserve"> программных мероприятий являются:</w:t>
            </w:r>
          </w:p>
          <w:p w:rsidR="00A00450" w:rsidRPr="00952A1F" w:rsidRDefault="00A00450" w:rsidP="009D4B9E">
            <w:pPr>
              <w:pStyle w:val="ConsPlusNonformat"/>
              <w:jc w:val="both"/>
              <w:rPr>
                <w:rFonts w:ascii="Times New Roman" w:hAnsi="Times New Roman" w:cs="Times New Roman"/>
                <w:sz w:val="25"/>
                <w:szCs w:val="25"/>
              </w:rPr>
            </w:pPr>
            <w:r w:rsidRPr="00952A1F">
              <w:rPr>
                <w:rFonts w:ascii="Times New Roman" w:hAnsi="Times New Roman" w:cs="Times New Roman"/>
                <w:sz w:val="25"/>
                <w:szCs w:val="25"/>
              </w:rPr>
              <w:t>Средства бюджета Находкинского городского округа,</w:t>
            </w:r>
          </w:p>
          <w:p w:rsidR="00A00450" w:rsidRPr="00952A1F" w:rsidRDefault="00A00450" w:rsidP="009D4B9E">
            <w:pPr>
              <w:pStyle w:val="ConsPlusNonformat"/>
              <w:jc w:val="both"/>
              <w:rPr>
                <w:rFonts w:ascii="Times New Roman" w:hAnsi="Times New Roman" w:cs="Times New Roman"/>
                <w:sz w:val="25"/>
                <w:szCs w:val="25"/>
              </w:rPr>
            </w:pPr>
            <w:r w:rsidRPr="00952A1F">
              <w:rPr>
                <w:rFonts w:ascii="Times New Roman" w:hAnsi="Times New Roman" w:cs="Times New Roman"/>
                <w:sz w:val="25"/>
                <w:szCs w:val="25"/>
              </w:rPr>
              <w:t>Средства бюджета Приморского края,</w:t>
            </w:r>
          </w:p>
          <w:p w:rsidR="00A00450" w:rsidRPr="00952A1F" w:rsidRDefault="00A00450" w:rsidP="009D4B9E">
            <w:pPr>
              <w:pStyle w:val="ConsPlusNonformat"/>
              <w:jc w:val="both"/>
              <w:rPr>
                <w:rFonts w:ascii="Times New Roman" w:hAnsi="Times New Roman" w:cs="Times New Roman"/>
                <w:sz w:val="25"/>
                <w:szCs w:val="25"/>
              </w:rPr>
            </w:pPr>
            <w:r w:rsidRPr="00952A1F">
              <w:rPr>
                <w:rFonts w:ascii="Times New Roman" w:hAnsi="Times New Roman" w:cs="Times New Roman"/>
                <w:sz w:val="25"/>
                <w:szCs w:val="25"/>
              </w:rPr>
              <w:t>Средства федерального бюджета по федеральным целевым программам,</w:t>
            </w:r>
          </w:p>
          <w:p w:rsidR="00A00450" w:rsidRPr="00952A1F" w:rsidRDefault="00A00450" w:rsidP="009D4B9E">
            <w:pPr>
              <w:pStyle w:val="ConsPlusNonformat"/>
              <w:jc w:val="both"/>
              <w:rPr>
                <w:rFonts w:ascii="Times New Roman" w:hAnsi="Times New Roman" w:cs="Times New Roman"/>
                <w:sz w:val="25"/>
                <w:szCs w:val="25"/>
              </w:rPr>
            </w:pPr>
            <w:r w:rsidRPr="00952A1F">
              <w:rPr>
                <w:rFonts w:ascii="Times New Roman" w:hAnsi="Times New Roman" w:cs="Times New Roman"/>
                <w:sz w:val="25"/>
                <w:szCs w:val="25"/>
              </w:rPr>
              <w:t xml:space="preserve">Инвестиционные составляющие экономически обоснованных тарифов и плата за подключение </w:t>
            </w:r>
          </w:p>
          <w:p w:rsidR="00A00450" w:rsidRDefault="00A00450" w:rsidP="009D4B9E">
            <w:pPr>
              <w:pStyle w:val="ConsPlusNonformat"/>
              <w:jc w:val="both"/>
              <w:rPr>
                <w:rFonts w:ascii="Times New Roman" w:hAnsi="Times New Roman" w:cs="Times New Roman"/>
                <w:sz w:val="25"/>
                <w:szCs w:val="25"/>
                <w:lang w:val="en-US"/>
              </w:rPr>
            </w:pPr>
            <w:r w:rsidRPr="00952A1F">
              <w:rPr>
                <w:rFonts w:ascii="Times New Roman" w:hAnsi="Times New Roman" w:cs="Times New Roman"/>
                <w:sz w:val="25"/>
                <w:szCs w:val="25"/>
              </w:rPr>
              <w:t>Иные внебюджетные источники.</w:t>
            </w:r>
          </w:p>
          <w:p w:rsidR="00A00450" w:rsidRPr="00371911" w:rsidRDefault="00A00450" w:rsidP="009D4B9E">
            <w:pPr>
              <w:pStyle w:val="ConsPlusNonformat"/>
              <w:jc w:val="both"/>
              <w:rPr>
                <w:rFonts w:ascii="Times New Roman" w:hAnsi="Times New Roman" w:cs="Times New Roman"/>
                <w:sz w:val="25"/>
                <w:szCs w:val="25"/>
                <w:lang w:val="en-US"/>
              </w:rPr>
            </w:pPr>
          </w:p>
        </w:tc>
      </w:tr>
    </w:tbl>
    <w:p w:rsidR="00A00450" w:rsidRDefault="00A00450" w:rsidP="006B4AB6">
      <w:pPr>
        <w:tabs>
          <w:tab w:val="left" w:pos="11624"/>
          <w:tab w:val="left" w:pos="12758"/>
        </w:tabs>
        <w:ind w:right="-144" w:firstLine="709"/>
        <w:jc w:val="both"/>
        <w:rPr>
          <w:sz w:val="26"/>
          <w:szCs w:val="26"/>
        </w:rPr>
      </w:pPr>
    </w:p>
    <w:p w:rsidR="00074C02" w:rsidRDefault="00074C02" w:rsidP="00A377BB">
      <w:pPr>
        <w:ind w:firstLine="708"/>
        <w:jc w:val="both"/>
        <w:rPr>
          <w:sz w:val="26"/>
          <w:szCs w:val="26"/>
        </w:rPr>
      </w:pPr>
      <w:r>
        <w:rPr>
          <w:sz w:val="26"/>
          <w:szCs w:val="26"/>
        </w:rPr>
        <w:t>б</w:t>
      </w:r>
      <w:r w:rsidR="00A947B2">
        <w:rPr>
          <w:sz w:val="26"/>
          <w:szCs w:val="26"/>
        </w:rPr>
        <w:t xml:space="preserve">) </w:t>
      </w:r>
      <w:r w:rsidR="00A377BB">
        <w:rPr>
          <w:sz w:val="26"/>
          <w:szCs w:val="26"/>
        </w:rPr>
        <w:t xml:space="preserve">в подразделе 2.2 </w:t>
      </w:r>
      <w:r>
        <w:rPr>
          <w:sz w:val="26"/>
          <w:szCs w:val="26"/>
        </w:rPr>
        <w:t xml:space="preserve">«Теплоснабжение» </w:t>
      </w:r>
      <w:r w:rsidR="00A377BB">
        <w:rPr>
          <w:sz w:val="26"/>
          <w:szCs w:val="26"/>
        </w:rPr>
        <w:t>раздела 2</w:t>
      </w:r>
      <w:r>
        <w:rPr>
          <w:sz w:val="26"/>
          <w:szCs w:val="26"/>
        </w:rPr>
        <w:t xml:space="preserve"> «Характеристика существующего состояния коммунальной инфраструктуры»:</w:t>
      </w:r>
    </w:p>
    <w:p w:rsidR="00074C02" w:rsidRDefault="00A377BB" w:rsidP="00A377BB">
      <w:pPr>
        <w:ind w:firstLine="708"/>
        <w:jc w:val="both"/>
        <w:rPr>
          <w:sz w:val="26"/>
          <w:szCs w:val="26"/>
        </w:rPr>
      </w:pPr>
      <w:r>
        <w:rPr>
          <w:sz w:val="26"/>
          <w:szCs w:val="26"/>
        </w:rPr>
        <w:t xml:space="preserve"> после слов «</w:t>
      </w:r>
      <w:r w:rsidRPr="00840CD8">
        <w:rPr>
          <w:sz w:val="26"/>
          <w:szCs w:val="26"/>
        </w:rPr>
        <w:t>от котельных поставщиков – 50,965 Гкал/ч</w:t>
      </w:r>
      <w:r>
        <w:rPr>
          <w:sz w:val="26"/>
          <w:szCs w:val="26"/>
        </w:rPr>
        <w:t xml:space="preserve">» дополнить словами «, </w:t>
      </w:r>
      <w:r w:rsidRPr="00A377BB">
        <w:rPr>
          <w:sz w:val="26"/>
          <w:szCs w:val="26"/>
        </w:rPr>
        <w:t>планируемая нагрузка от будущей  ТЭС ЗАО «ВНХК» - до 42 Гкал/ч.»</w:t>
      </w:r>
      <w:r w:rsidR="00074C02">
        <w:rPr>
          <w:sz w:val="26"/>
          <w:szCs w:val="26"/>
        </w:rPr>
        <w:t>;</w:t>
      </w:r>
    </w:p>
    <w:p w:rsidR="007817DA" w:rsidRDefault="007817DA" w:rsidP="00A377BB">
      <w:pPr>
        <w:ind w:firstLine="708"/>
        <w:jc w:val="both"/>
        <w:rPr>
          <w:sz w:val="26"/>
          <w:szCs w:val="26"/>
        </w:rPr>
      </w:pPr>
    </w:p>
    <w:p w:rsidR="00074C02" w:rsidRDefault="00A377BB" w:rsidP="00074C02">
      <w:pPr>
        <w:ind w:firstLine="708"/>
        <w:jc w:val="both"/>
        <w:rPr>
          <w:sz w:val="26"/>
          <w:szCs w:val="26"/>
        </w:rPr>
      </w:pPr>
      <w:r>
        <w:rPr>
          <w:sz w:val="26"/>
          <w:szCs w:val="26"/>
        </w:rPr>
        <w:lastRenderedPageBreak/>
        <w:t xml:space="preserve">дополнить абзацем 8 следующего содержания: </w:t>
      </w:r>
    </w:p>
    <w:p w:rsidR="00A377BB" w:rsidRPr="00A377BB" w:rsidRDefault="00741B28" w:rsidP="00074C02">
      <w:pPr>
        <w:ind w:firstLine="708"/>
        <w:jc w:val="both"/>
        <w:rPr>
          <w:sz w:val="26"/>
          <w:szCs w:val="26"/>
        </w:rPr>
      </w:pPr>
      <w:r>
        <w:rPr>
          <w:sz w:val="26"/>
          <w:szCs w:val="26"/>
        </w:rPr>
        <w:t>«</w:t>
      </w:r>
      <w:r w:rsidR="00A377BB" w:rsidRPr="00A377BB">
        <w:rPr>
          <w:sz w:val="26"/>
          <w:szCs w:val="26"/>
        </w:rPr>
        <w:t>Теплоснабжение потребителей в поселках  Береговой и Первостроителей микрорайона Врангель после завершения строительства и ввода в эксплуатацию ТЭС ВНХК и реконструкции систем теплоснабжения предусматривается по закрытой схеме. Подогрев воды на ГВС будет осуществляться в индивидуальных тепловых пунктах каждого потребителя (здания) через теплообменник, без отбора теплофикационной воды.»</w:t>
      </w:r>
      <w:r w:rsidR="00074C02">
        <w:rPr>
          <w:sz w:val="26"/>
          <w:szCs w:val="26"/>
        </w:rPr>
        <w:t>;</w:t>
      </w:r>
    </w:p>
    <w:p w:rsidR="00DE7FC3" w:rsidRDefault="00074C02" w:rsidP="006B4AB6">
      <w:pPr>
        <w:ind w:right="-144" w:firstLine="709"/>
        <w:jc w:val="both"/>
        <w:rPr>
          <w:sz w:val="26"/>
          <w:szCs w:val="26"/>
        </w:rPr>
      </w:pPr>
      <w:r>
        <w:rPr>
          <w:sz w:val="26"/>
          <w:szCs w:val="26"/>
        </w:rPr>
        <w:t>в</w:t>
      </w:r>
      <w:r w:rsidR="00F50DF0">
        <w:rPr>
          <w:sz w:val="26"/>
          <w:szCs w:val="26"/>
        </w:rPr>
        <w:t xml:space="preserve">) </w:t>
      </w:r>
      <w:r w:rsidR="00A377BB">
        <w:rPr>
          <w:sz w:val="26"/>
          <w:szCs w:val="26"/>
        </w:rPr>
        <w:t>в разделе 5</w:t>
      </w:r>
      <w:r w:rsidR="00DE7FC3">
        <w:rPr>
          <w:sz w:val="26"/>
          <w:szCs w:val="26"/>
        </w:rPr>
        <w:t xml:space="preserve"> «Мероприятия к инвестиционным программам организаций коммунального комплекса, обеспечивающим достижение целевых показателей»:</w:t>
      </w:r>
    </w:p>
    <w:p w:rsidR="00A95F97" w:rsidRDefault="00A377BB" w:rsidP="006B4AB6">
      <w:pPr>
        <w:ind w:right="-144" w:firstLine="709"/>
        <w:jc w:val="both"/>
        <w:rPr>
          <w:sz w:val="26"/>
          <w:szCs w:val="26"/>
        </w:rPr>
      </w:pPr>
      <w:r>
        <w:rPr>
          <w:sz w:val="26"/>
          <w:szCs w:val="26"/>
        </w:rPr>
        <w:t xml:space="preserve"> </w:t>
      </w:r>
      <w:r w:rsidR="009D4B9E">
        <w:rPr>
          <w:sz w:val="26"/>
          <w:szCs w:val="26"/>
        </w:rPr>
        <w:t>абзац</w:t>
      </w:r>
      <w:r>
        <w:rPr>
          <w:sz w:val="26"/>
          <w:szCs w:val="26"/>
        </w:rPr>
        <w:t xml:space="preserve"> «Микрорайон Врангель»</w:t>
      </w:r>
      <w:r w:rsidR="009F1048">
        <w:rPr>
          <w:sz w:val="26"/>
          <w:szCs w:val="26"/>
        </w:rPr>
        <w:t xml:space="preserve"> </w:t>
      </w:r>
      <w:r w:rsidR="001466B6">
        <w:rPr>
          <w:sz w:val="26"/>
          <w:szCs w:val="26"/>
        </w:rPr>
        <w:t xml:space="preserve">изложить в следующей редакции: </w:t>
      </w:r>
    </w:p>
    <w:p w:rsidR="00A377BB" w:rsidRPr="008D5907" w:rsidRDefault="001466B6" w:rsidP="00741B28">
      <w:pPr>
        <w:jc w:val="center"/>
        <w:rPr>
          <w:b/>
          <w:sz w:val="26"/>
          <w:szCs w:val="26"/>
        </w:rPr>
      </w:pPr>
      <w:r>
        <w:rPr>
          <w:sz w:val="26"/>
          <w:szCs w:val="26"/>
        </w:rPr>
        <w:t>«</w:t>
      </w:r>
      <w:r w:rsidR="00A377BB">
        <w:rPr>
          <w:b/>
          <w:sz w:val="26"/>
          <w:szCs w:val="26"/>
        </w:rPr>
        <w:t xml:space="preserve">Микрорайон </w:t>
      </w:r>
      <w:r w:rsidR="00A377BB" w:rsidRPr="008D5907">
        <w:rPr>
          <w:b/>
          <w:sz w:val="26"/>
          <w:szCs w:val="26"/>
        </w:rPr>
        <w:t>Врангель</w:t>
      </w:r>
    </w:p>
    <w:p w:rsidR="00A377BB" w:rsidRDefault="00A377BB" w:rsidP="00A377BB">
      <w:pPr>
        <w:jc w:val="both"/>
        <w:rPr>
          <w:sz w:val="26"/>
          <w:szCs w:val="26"/>
        </w:rPr>
      </w:pPr>
      <w:r w:rsidRPr="00F02C7A">
        <w:rPr>
          <w:sz w:val="26"/>
          <w:szCs w:val="26"/>
        </w:rPr>
        <w:t>В рамках проекта Соглашения о сотрудничестве между Администрацией Приморского края и ОАО «НК «Роснефть»» предусмотрено строительство ТЭС в районе</w:t>
      </w:r>
      <w:r>
        <w:rPr>
          <w:sz w:val="26"/>
          <w:szCs w:val="26"/>
        </w:rPr>
        <w:t xml:space="preserve"> будущего нефтехимического комплекса.</w:t>
      </w:r>
      <w:r w:rsidRPr="00F02C7A">
        <w:rPr>
          <w:sz w:val="26"/>
          <w:szCs w:val="26"/>
        </w:rPr>
        <w:t xml:space="preserve"> В настоящее время идет активная стадия проектирования внутриплощадочных и внеплощадочных систем и сооружений ЗАО «Восточная нефтехимическая компания». Отпуск тепловой энергии от ТЭС ВНХК до п</w:t>
      </w:r>
      <w:r>
        <w:rPr>
          <w:sz w:val="26"/>
          <w:szCs w:val="26"/>
        </w:rPr>
        <w:t xml:space="preserve">оселка </w:t>
      </w:r>
      <w:r w:rsidRPr="00F02C7A">
        <w:rPr>
          <w:sz w:val="26"/>
          <w:szCs w:val="26"/>
        </w:rPr>
        <w:t>Береговой, п</w:t>
      </w:r>
      <w:r>
        <w:rPr>
          <w:sz w:val="26"/>
          <w:szCs w:val="26"/>
        </w:rPr>
        <w:t xml:space="preserve">оселка </w:t>
      </w:r>
      <w:r w:rsidRPr="00F02C7A">
        <w:rPr>
          <w:sz w:val="26"/>
          <w:szCs w:val="26"/>
        </w:rPr>
        <w:t>Железнодорожников и п</w:t>
      </w:r>
      <w:r>
        <w:rPr>
          <w:sz w:val="26"/>
          <w:szCs w:val="26"/>
        </w:rPr>
        <w:t xml:space="preserve">оселка </w:t>
      </w:r>
      <w:r w:rsidRPr="00F02C7A">
        <w:rPr>
          <w:sz w:val="26"/>
          <w:szCs w:val="26"/>
        </w:rPr>
        <w:t>Первостроителей планируется в количестве 42 Гкал/ч</w:t>
      </w:r>
      <w:r>
        <w:rPr>
          <w:sz w:val="26"/>
          <w:szCs w:val="26"/>
        </w:rPr>
        <w:t>ас</w:t>
      </w:r>
      <w:r w:rsidRPr="00F02C7A">
        <w:rPr>
          <w:sz w:val="26"/>
          <w:szCs w:val="26"/>
        </w:rPr>
        <w:t>, что полностью  покроет существующую нагрузку в 27 Гкал/ч</w:t>
      </w:r>
      <w:r>
        <w:rPr>
          <w:sz w:val="26"/>
          <w:szCs w:val="26"/>
        </w:rPr>
        <w:t>ас</w:t>
      </w:r>
      <w:r w:rsidRPr="00F02C7A">
        <w:rPr>
          <w:sz w:val="26"/>
          <w:szCs w:val="26"/>
        </w:rPr>
        <w:t xml:space="preserve"> и позволит иметь запас для </w:t>
      </w:r>
      <w:r>
        <w:rPr>
          <w:sz w:val="26"/>
          <w:szCs w:val="26"/>
        </w:rPr>
        <w:t xml:space="preserve">перспективного </w:t>
      </w:r>
      <w:r w:rsidRPr="00F02C7A">
        <w:rPr>
          <w:sz w:val="26"/>
          <w:szCs w:val="26"/>
        </w:rPr>
        <w:t xml:space="preserve">роста </w:t>
      </w:r>
      <w:r>
        <w:rPr>
          <w:sz w:val="26"/>
          <w:szCs w:val="26"/>
        </w:rPr>
        <w:t xml:space="preserve">количества </w:t>
      </w:r>
      <w:r w:rsidRPr="00F02C7A">
        <w:rPr>
          <w:sz w:val="26"/>
          <w:szCs w:val="26"/>
        </w:rPr>
        <w:t>потребителей.</w:t>
      </w:r>
    </w:p>
    <w:p w:rsidR="00A377BB" w:rsidRPr="00A377BB" w:rsidRDefault="00A377BB" w:rsidP="00A377BB">
      <w:pPr>
        <w:jc w:val="both"/>
        <w:rPr>
          <w:sz w:val="26"/>
          <w:szCs w:val="26"/>
        </w:rPr>
      </w:pPr>
      <w:r>
        <w:rPr>
          <w:sz w:val="26"/>
          <w:szCs w:val="26"/>
        </w:rPr>
        <w:t xml:space="preserve">          </w:t>
      </w:r>
      <w:r w:rsidRPr="00A377BB">
        <w:rPr>
          <w:sz w:val="26"/>
          <w:szCs w:val="26"/>
        </w:rPr>
        <w:t>Выработка тепловой энергии на ТЭС ВНХК предусматривается из отборов паровых при когенерационной выработке электроэнергии и во встроенных водоводяных  теплообменниках котлов-утилизаторов газотурбинных установок (ГТУ), что положительным образом скажется на стоимости тепловой энергии для конечных потребителей. Основным видом топлива ТЭС ВНХК является природный газ из газотранспортной системы Приморского края.</w:t>
      </w:r>
    </w:p>
    <w:p w:rsidR="00A377BB" w:rsidRPr="00A377BB" w:rsidRDefault="00A377BB" w:rsidP="00A377BB">
      <w:pPr>
        <w:jc w:val="both"/>
        <w:rPr>
          <w:sz w:val="26"/>
          <w:szCs w:val="26"/>
        </w:rPr>
      </w:pPr>
      <w:r w:rsidRPr="00A377BB">
        <w:rPr>
          <w:sz w:val="26"/>
          <w:szCs w:val="26"/>
        </w:rPr>
        <w:t xml:space="preserve">              Для подключения пос. Береговой микрорайона Врангель проектом ВНХК предусматривается вывод тепловой сети ВНХК с северо-западной стороны площадки. Для подключения пос. Первостроителей  микрорайона Врангель предусматривается вывод тепловой сети с площадки ВНХК на южной границе. Температурный  график 130 – 70 С. Схема теплоснабжения – закрытая, гидравлически независимая.</w:t>
      </w:r>
    </w:p>
    <w:p w:rsidR="00160099" w:rsidRPr="00A377BB" w:rsidRDefault="00A377BB" w:rsidP="00A377BB">
      <w:pPr>
        <w:ind w:firstLine="708"/>
        <w:jc w:val="both"/>
        <w:rPr>
          <w:i/>
          <w:sz w:val="24"/>
          <w:szCs w:val="24"/>
        </w:rPr>
      </w:pPr>
      <w:r w:rsidRPr="00A377BB">
        <w:rPr>
          <w:sz w:val="26"/>
          <w:szCs w:val="26"/>
        </w:rPr>
        <w:t>Для подачи качественной и в полном объеме услуги отопления и ГВС, необходимо предусмотреть строительство тепловых сетей от площадки ЗАО «Восточная нефтехимическая компания» до котельных 5.1, 5.2, 5.4, которые в свою очередь должны быть переоборудованы в центральные тепловые пункты,</w:t>
      </w:r>
      <w:r>
        <w:rPr>
          <w:sz w:val="26"/>
          <w:szCs w:val="26"/>
        </w:rPr>
        <w:t xml:space="preserve"> вос</w:t>
      </w:r>
      <w:r w:rsidRPr="00F02C7A">
        <w:rPr>
          <w:sz w:val="26"/>
          <w:szCs w:val="26"/>
        </w:rPr>
        <w:t>становить все внутридомовые и площадочные сети ГВС</w:t>
      </w:r>
      <w:r>
        <w:rPr>
          <w:sz w:val="26"/>
          <w:szCs w:val="26"/>
        </w:rPr>
        <w:t>.</w:t>
      </w:r>
      <w:r w:rsidR="002713D6">
        <w:rPr>
          <w:sz w:val="26"/>
          <w:szCs w:val="26"/>
        </w:rPr>
        <w:t>»;</w:t>
      </w:r>
    </w:p>
    <w:p w:rsidR="006C1EFE" w:rsidRDefault="00DE7FC3" w:rsidP="00882CFB">
      <w:pPr>
        <w:ind w:right="-144" w:firstLine="709"/>
        <w:jc w:val="both"/>
        <w:rPr>
          <w:sz w:val="26"/>
          <w:szCs w:val="26"/>
        </w:rPr>
        <w:sectPr w:rsidR="006C1EFE" w:rsidSect="007E256E">
          <w:headerReference w:type="default" r:id="rId8"/>
          <w:pgSz w:w="11906" w:h="16838" w:code="9"/>
          <w:pgMar w:top="794" w:right="851" w:bottom="1134" w:left="1701" w:header="709" w:footer="709" w:gutter="0"/>
          <w:cols w:space="708"/>
          <w:titlePg/>
          <w:docGrid w:linePitch="360"/>
        </w:sectPr>
      </w:pPr>
      <w:r>
        <w:rPr>
          <w:sz w:val="26"/>
          <w:szCs w:val="26"/>
        </w:rPr>
        <w:t xml:space="preserve">таблицу № 80 </w:t>
      </w:r>
      <w:r w:rsidR="00882CFB">
        <w:rPr>
          <w:sz w:val="26"/>
          <w:szCs w:val="26"/>
        </w:rPr>
        <w:t xml:space="preserve">изложить в </w:t>
      </w:r>
      <w:r>
        <w:rPr>
          <w:sz w:val="26"/>
          <w:szCs w:val="26"/>
        </w:rPr>
        <w:t>следующей</w:t>
      </w:r>
      <w:r w:rsidR="00882CFB">
        <w:rPr>
          <w:sz w:val="26"/>
          <w:szCs w:val="26"/>
        </w:rPr>
        <w:t xml:space="preserve"> редакции:</w:t>
      </w:r>
    </w:p>
    <w:p w:rsidR="00882CFB" w:rsidRDefault="00882CFB" w:rsidP="00882CFB">
      <w:pPr>
        <w:ind w:right="-144" w:firstLine="709"/>
        <w:jc w:val="both"/>
        <w:rPr>
          <w:sz w:val="26"/>
          <w:szCs w:val="26"/>
        </w:rPr>
      </w:pPr>
    </w:p>
    <w:tbl>
      <w:tblPr>
        <w:tblW w:w="0" w:type="auto"/>
        <w:tblCellSpacing w:w="5" w:type="nil"/>
        <w:tblInd w:w="75" w:type="dxa"/>
        <w:tblLayout w:type="fixed"/>
        <w:tblCellMar>
          <w:left w:w="75" w:type="dxa"/>
          <w:right w:w="75" w:type="dxa"/>
        </w:tblCellMar>
        <w:tblLook w:val="0000"/>
      </w:tblPr>
      <w:tblGrid>
        <w:gridCol w:w="4678"/>
        <w:gridCol w:w="2835"/>
        <w:gridCol w:w="6095"/>
        <w:gridCol w:w="1560"/>
      </w:tblGrid>
      <w:tr w:rsidR="00882CFB" w:rsidRPr="006C1EFE" w:rsidTr="006C1EFE">
        <w:trPr>
          <w:trHeight w:val="678"/>
          <w:tblCellSpacing w:w="5" w:type="nil"/>
        </w:trPr>
        <w:tc>
          <w:tcPr>
            <w:tcW w:w="4678" w:type="dxa"/>
            <w:tcBorders>
              <w:top w:val="single" w:sz="4" w:space="0" w:color="auto"/>
              <w:left w:val="single" w:sz="4" w:space="0" w:color="auto"/>
              <w:bottom w:val="single" w:sz="4" w:space="0" w:color="auto"/>
              <w:right w:val="single" w:sz="4" w:space="0" w:color="auto"/>
            </w:tcBorders>
            <w:vAlign w:val="center"/>
          </w:tcPr>
          <w:p w:rsidR="00882CFB" w:rsidRPr="006C1EFE" w:rsidRDefault="00882CFB" w:rsidP="009D4B9E">
            <w:pPr>
              <w:pStyle w:val="ConsPlusCell"/>
              <w:spacing w:before="120" w:after="120"/>
              <w:jc w:val="center"/>
              <w:rPr>
                <w:rFonts w:ascii="Times New Roman" w:hAnsi="Times New Roman" w:cs="Times New Roman"/>
              </w:rPr>
            </w:pPr>
            <w:r w:rsidRPr="006C1EFE">
              <w:rPr>
                <w:rFonts w:ascii="Times New Roman" w:hAnsi="Times New Roman" w:cs="Times New Roman"/>
              </w:rPr>
              <w:t>Характеристика проблемы</w:t>
            </w:r>
          </w:p>
        </w:tc>
        <w:tc>
          <w:tcPr>
            <w:tcW w:w="2835" w:type="dxa"/>
            <w:tcBorders>
              <w:top w:val="single" w:sz="4" w:space="0" w:color="auto"/>
              <w:left w:val="single" w:sz="4" w:space="0" w:color="auto"/>
              <w:bottom w:val="single" w:sz="4" w:space="0" w:color="auto"/>
              <w:right w:val="single" w:sz="4" w:space="0" w:color="auto"/>
            </w:tcBorders>
            <w:vAlign w:val="center"/>
          </w:tcPr>
          <w:p w:rsidR="00882CFB" w:rsidRPr="006C1EFE" w:rsidRDefault="00882CFB" w:rsidP="009D4B9E">
            <w:pPr>
              <w:pStyle w:val="ConsPlusCell"/>
              <w:spacing w:before="120" w:after="120"/>
              <w:jc w:val="center"/>
              <w:rPr>
                <w:rFonts w:ascii="Times New Roman" w:hAnsi="Times New Roman" w:cs="Times New Roman"/>
              </w:rPr>
            </w:pPr>
            <w:r w:rsidRPr="006C1EFE">
              <w:rPr>
                <w:rFonts w:ascii="Times New Roman" w:hAnsi="Times New Roman" w:cs="Times New Roman"/>
              </w:rPr>
              <w:t>Предлагаемое решение</w:t>
            </w:r>
          </w:p>
        </w:tc>
        <w:tc>
          <w:tcPr>
            <w:tcW w:w="6095" w:type="dxa"/>
            <w:tcBorders>
              <w:top w:val="single" w:sz="4" w:space="0" w:color="auto"/>
              <w:left w:val="single" w:sz="4" w:space="0" w:color="auto"/>
              <w:bottom w:val="single" w:sz="4" w:space="0" w:color="auto"/>
              <w:right w:val="single" w:sz="4" w:space="0" w:color="auto"/>
            </w:tcBorders>
            <w:vAlign w:val="center"/>
          </w:tcPr>
          <w:p w:rsidR="00882CFB" w:rsidRPr="006C1EFE" w:rsidRDefault="00882CFB" w:rsidP="009D4B9E">
            <w:pPr>
              <w:pStyle w:val="ConsPlusCell"/>
              <w:spacing w:before="120" w:after="120"/>
              <w:jc w:val="center"/>
              <w:rPr>
                <w:rFonts w:ascii="Times New Roman" w:hAnsi="Times New Roman" w:cs="Times New Roman"/>
              </w:rPr>
            </w:pPr>
            <w:r w:rsidRPr="006C1EFE">
              <w:rPr>
                <w:rFonts w:ascii="Times New Roman" w:hAnsi="Times New Roman" w:cs="Times New Roman"/>
              </w:rPr>
              <w:t>Необходимые мероприятия</w:t>
            </w:r>
          </w:p>
        </w:tc>
        <w:tc>
          <w:tcPr>
            <w:tcW w:w="1560" w:type="dxa"/>
            <w:tcBorders>
              <w:top w:val="single" w:sz="4" w:space="0" w:color="auto"/>
              <w:left w:val="single" w:sz="4" w:space="0" w:color="auto"/>
              <w:bottom w:val="single" w:sz="4" w:space="0" w:color="auto"/>
              <w:right w:val="single" w:sz="4" w:space="0" w:color="auto"/>
            </w:tcBorders>
            <w:vAlign w:val="center"/>
          </w:tcPr>
          <w:p w:rsidR="00882CFB" w:rsidRPr="006C1EFE" w:rsidRDefault="00882CFB" w:rsidP="009D4B9E">
            <w:pPr>
              <w:pStyle w:val="ConsPlusCell"/>
              <w:spacing w:before="120" w:after="120"/>
              <w:jc w:val="center"/>
              <w:rPr>
                <w:rFonts w:ascii="Times New Roman" w:hAnsi="Times New Roman" w:cs="Times New Roman"/>
              </w:rPr>
            </w:pPr>
            <w:r w:rsidRPr="006C1EFE">
              <w:rPr>
                <w:rFonts w:ascii="Times New Roman" w:hAnsi="Times New Roman" w:cs="Times New Roman"/>
              </w:rPr>
              <w:t>Срок выполнения</w:t>
            </w:r>
          </w:p>
        </w:tc>
      </w:tr>
      <w:tr w:rsidR="00882CFB" w:rsidRPr="006C1EFE" w:rsidTr="009D4B9E">
        <w:trPr>
          <w:tblCellSpacing w:w="5" w:type="nil"/>
        </w:trPr>
        <w:tc>
          <w:tcPr>
            <w:tcW w:w="15168" w:type="dxa"/>
            <w:gridSpan w:val="4"/>
            <w:tcBorders>
              <w:left w:val="single" w:sz="4" w:space="0" w:color="auto"/>
              <w:bottom w:val="single" w:sz="4" w:space="0" w:color="auto"/>
              <w:right w:val="single" w:sz="4" w:space="0" w:color="auto"/>
            </w:tcBorders>
            <w:vAlign w:val="center"/>
          </w:tcPr>
          <w:p w:rsidR="00882CFB" w:rsidRPr="006C1EFE" w:rsidRDefault="00882CFB" w:rsidP="009D4B9E">
            <w:pPr>
              <w:spacing w:before="120" w:after="120"/>
              <w:jc w:val="center"/>
              <w:rPr>
                <w:sz w:val="22"/>
                <w:szCs w:val="22"/>
              </w:rPr>
            </w:pPr>
            <w:r w:rsidRPr="006C1EFE">
              <w:rPr>
                <w:sz w:val="22"/>
                <w:szCs w:val="22"/>
              </w:rPr>
              <w:t>Модернизация теплоисточников в населенных пунктах пос. Береговой и Первостроителей</w:t>
            </w:r>
          </w:p>
        </w:tc>
      </w:tr>
      <w:tr w:rsidR="00882CFB" w:rsidRPr="006C1EFE" w:rsidTr="009D4B9E">
        <w:trPr>
          <w:trHeight w:val="1000"/>
          <w:tblCellSpacing w:w="5" w:type="nil"/>
        </w:trPr>
        <w:tc>
          <w:tcPr>
            <w:tcW w:w="4678" w:type="dxa"/>
            <w:vMerge w:val="restart"/>
            <w:tcBorders>
              <w:left w:val="single" w:sz="4" w:space="0" w:color="auto"/>
              <w:right w:val="single" w:sz="4" w:space="0" w:color="auto"/>
            </w:tcBorders>
            <w:vAlign w:val="center"/>
          </w:tcPr>
          <w:p w:rsidR="00882CFB" w:rsidRPr="006C1EFE" w:rsidRDefault="00882CFB" w:rsidP="009D4B9E">
            <w:pPr>
              <w:pStyle w:val="ConsPlusCell"/>
              <w:jc w:val="center"/>
              <w:rPr>
                <w:rFonts w:ascii="Courier New" w:hAnsi="Courier New" w:cs="Courier New"/>
              </w:rPr>
            </w:pPr>
            <w:r w:rsidRPr="006C1EFE">
              <w:rPr>
                <w:rFonts w:ascii="Times New Roman" w:hAnsi="Times New Roman" w:cs="Times New Roman"/>
              </w:rPr>
              <w:t>Надежное обеспечение потребителей Находкинского городского округа тепловой энергией в микрорайоне Врангель</w:t>
            </w:r>
          </w:p>
        </w:tc>
        <w:tc>
          <w:tcPr>
            <w:tcW w:w="2835" w:type="dxa"/>
            <w:vMerge w:val="restart"/>
            <w:tcBorders>
              <w:left w:val="single" w:sz="4" w:space="0" w:color="auto"/>
              <w:right w:val="single" w:sz="4" w:space="0" w:color="auto"/>
            </w:tcBorders>
            <w:vAlign w:val="center"/>
          </w:tcPr>
          <w:p w:rsidR="00882CFB" w:rsidRPr="006C1EFE" w:rsidRDefault="00882CFB" w:rsidP="009D4B9E">
            <w:pPr>
              <w:pStyle w:val="ConsPlusCell"/>
              <w:jc w:val="center"/>
              <w:rPr>
                <w:rFonts w:ascii="Times New Roman" w:hAnsi="Times New Roman" w:cs="Times New Roman"/>
              </w:rPr>
            </w:pPr>
            <w:r w:rsidRPr="006C1EFE">
              <w:rPr>
                <w:rFonts w:ascii="Times New Roman" w:hAnsi="Times New Roman" w:cs="Times New Roman"/>
              </w:rPr>
              <w:t>Перераспределение излишков тепловой энергии, вырабатываемых ТЭС ЗАО «ВНХК» для целей теплоснабжения объектов социального назначения и жилого фонда микрорайона Врангель</w:t>
            </w:r>
          </w:p>
        </w:tc>
        <w:tc>
          <w:tcPr>
            <w:tcW w:w="6095" w:type="dxa"/>
            <w:tcBorders>
              <w:left w:val="single" w:sz="4" w:space="0" w:color="auto"/>
              <w:bottom w:val="single" w:sz="4" w:space="0" w:color="auto"/>
              <w:right w:val="single" w:sz="4" w:space="0" w:color="auto"/>
            </w:tcBorders>
            <w:vAlign w:val="center"/>
          </w:tcPr>
          <w:p w:rsidR="00882CFB" w:rsidRPr="006C1EFE" w:rsidRDefault="00882CFB" w:rsidP="009D4B9E">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rPr>
                <w:sz w:val="22"/>
                <w:szCs w:val="22"/>
              </w:rPr>
            </w:pPr>
            <w:r w:rsidRPr="006C1EFE">
              <w:rPr>
                <w:sz w:val="22"/>
                <w:szCs w:val="22"/>
              </w:rPr>
              <w:t>Строительство и ввод в эксплуатацию тепловой электрической станции ВНХК</w:t>
            </w:r>
          </w:p>
          <w:p w:rsidR="00882CFB" w:rsidRPr="006C1EFE" w:rsidRDefault="00882CFB" w:rsidP="009D4B9E">
            <w:pPr>
              <w:pBdr>
                <w:bottom w:val="single" w:sz="4" w:space="1" w:color="auto"/>
              </w:pBdr>
              <w:spacing w:before="60" w:after="60"/>
              <w:rPr>
                <w:sz w:val="22"/>
                <w:szCs w:val="22"/>
              </w:rPr>
            </w:pPr>
            <w:r w:rsidRPr="006C1EFE">
              <w:rPr>
                <w:sz w:val="22"/>
                <w:szCs w:val="22"/>
              </w:rPr>
              <w:t>Строительство и ввод в эксплуатацию внутриплощадочных тепловых сетей от ТЭС ВНХК до границы промышленной площадки ВНХК (до точек подключения внеплощадочных  тепловых сетей Находкинского городского округа</w:t>
            </w:r>
          </w:p>
          <w:p w:rsidR="00882CFB" w:rsidRPr="006C1EFE" w:rsidRDefault="00882CFB" w:rsidP="009D4B9E">
            <w:pPr>
              <w:spacing w:before="60" w:after="60"/>
              <w:rPr>
                <w:rFonts w:ascii="Courier New" w:hAnsi="Courier New" w:cs="Courier New"/>
                <w:sz w:val="22"/>
                <w:szCs w:val="22"/>
              </w:rPr>
            </w:pPr>
            <w:r w:rsidRPr="006C1EFE">
              <w:rPr>
                <w:sz w:val="22"/>
                <w:szCs w:val="22"/>
              </w:rPr>
              <w:t>Строительство магистральных тепловых сетей от точек подключения на границе ВНХК до котельных в населенных пунктах Первостроителей и Береговой.</w:t>
            </w:r>
          </w:p>
        </w:tc>
        <w:tc>
          <w:tcPr>
            <w:tcW w:w="1560" w:type="dxa"/>
            <w:tcBorders>
              <w:left w:val="single" w:sz="4" w:space="0" w:color="auto"/>
              <w:bottom w:val="single" w:sz="4" w:space="0" w:color="auto"/>
              <w:right w:val="single" w:sz="4" w:space="0" w:color="auto"/>
            </w:tcBorders>
            <w:vAlign w:val="center"/>
          </w:tcPr>
          <w:p w:rsidR="00882CFB" w:rsidRPr="006C1EFE" w:rsidRDefault="00882CFB" w:rsidP="009D4B9E">
            <w:pPr>
              <w:pStyle w:val="ConsPlusCell"/>
              <w:jc w:val="center"/>
              <w:rPr>
                <w:rFonts w:ascii="Times New Roman" w:hAnsi="Times New Roman" w:cs="Times New Roman"/>
              </w:rPr>
            </w:pPr>
            <w:r w:rsidRPr="006C1EFE">
              <w:rPr>
                <w:rFonts w:ascii="Times New Roman" w:hAnsi="Times New Roman" w:cs="Times New Roman"/>
              </w:rPr>
              <w:t>2014 – 2017</w:t>
            </w:r>
          </w:p>
        </w:tc>
      </w:tr>
      <w:tr w:rsidR="00882CFB" w:rsidRPr="006C1EFE" w:rsidTr="009D4B9E">
        <w:trPr>
          <w:trHeight w:val="1000"/>
          <w:tblCellSpacing w:w="5" w:type="nil"/>
        </w:trPr>
        <w:tc>
          <w:tcPr>
            <w:tcW w:w="4678" w:type="dxa"/>
            <w:vMerge/>
            <w:tcBorders>
              <w:left w:val="single" w:sz="4" w:space="0" w:color="auto"/>
              <w:right w:val="single" w:sz="4" w:space="0" w:color="auto"/>
            </w:tcBorders>
            <w:vAlign w:val="center"/>
          </w:tcPr>
          <w:p w:rsidR="00882CFB" w:rsidRPr="006C1EFE" w:rsidRDefault="00882CFB" w:rsidP="009D4B9E">
            <w:pPr>
              <w:pStyle w:val="ConsPlusCell"/>
              <w:jc w:val="center"/>
              <w:rPr>
                <w:rFonts w:ascii="Courier New" w:hAnsi="Courier New" w:cs="Courier New"/>
              </w:rPr>
            </w:pPr>
          </w:p>
        </w:tc>
        <w:tc>
          <w:tcPr>
            <w:tcW w:w="2835" w:type="dxa"/>
            <w:vMerge/>
            <w:tcBorders>
              <w:left w:val="single" w:sz="4" w:space="0" w:color="auto"/>
              <w:right w:val="single" w:sz="4" w:space="0" w:color="auto"/>
            </w:tcBorders>
            <w:vAlign w:val="center"/>
          </w:tcPr>
          <w:p w:rsidR="00882CFB" w:rsidRPr="006C1EFE" w:rsidRDefault="00882CFB" w:rsidP="009D4B9E">
            <w:pPr>
              <w:pStyle w:val="ConsPlusCell"/>
              <w:jc w:val="center"/>
              <w:rPr>
                <w:rFonts w:ascii="Courier New" w:hAnsi="Courier New" w:cs="Courier New"/>
              </w:rPr>
            </w:pPr>
          </w:p>
        </w:tc>
        <w:tc>
          <w:tcPr>
            <w:tcW w:w="6095" w:type="dxa"/>
            <w:tcBorders>
              <w:left w:val="single" w:sz="4" w:space="0" w:color="auto"/>
              <w:bottom w:val="single" w:sz="4" w:space="0" w:color="auto"/>
              <w:right w:val="single" w:sz="4" w:space="0" w:color="auto"/>
            </w:tcBorders>
            <w:vAlign w:val="center"/>
          </w:tcPr>
          <w:p w:rsidR="00882CFB" w:rsidRPr="006C1EFE" w:rsidRDefault="00882CFB" w:rsidP="009D4B9E">
            <w:pPr>
              <w:pStyle w:val="ConsPlusCell"/>
              <w:spacing w:before="60" w:after="60"/>
              <w:rPr>
                <w:rFonts w:ascii="Courier New" w:hAnsi="Courier New" w:cs="Courier New"/>
              </w:rPr>
            </w:pPr>
            <w:r w:rsidRPr="006C1EFE">
              <w:rPr>
                <w:rFonts w:ascii="Times New Roman" w:hAnsi="Times New Roman" w:cs="Times New Roman"/>
              </w:rPr>
              <w:t>Реконструкция существующих котельных с переводом их в разряд Центральных тепловых пунктов (демонтаж существующих котлов, демонтаж вспомогательного оборудования, установка теплообменных аппаратов с соответствующей обвязкой, насосного оборудования, оборудования водоподготовки (вакуумные деаэраторы), систем регулирования и учета).</w:t>
            </w:r>
          </w:p>
        </w:tc>
        <w:tc>
          <w:tcPr>
            <w:tcW w:w="1560" w:type="dxa"/>
            <w:tcBorders>
              <w:left w:val="single" w:sz="4" w:space="0" w:color="auto"/>
              <w:bottom w:val="single" w:sz="4" w:space="0" w:color="auto"/>
              <w:right w:val="single" w:sz="4" w:space="0" w:color="auto"/>
            </w:tcBorders>
            <w:vAlign w:val="center"/>
          </w:tcPr>
          <w:p w:rsidR="00882CFB" w:rsidRPr="006C1EFE" w:rsidRDefault="00882CFB" w:rsidP="009D4B9E">
            <w:pPr>
              <w:pStyle w:val="ConsPlusCell"/>
              <w:jc w:val="center"/>
              <w:rPr>
                <w:rFonts w:ascii="Times New Roman" w:hAnsi="Times New Roman" w:cs="Times New Roman"/>
              </w:rPr>
            </w:pPr>
            <w:r w:rsidRPr="006C1EFE">
              <w:rPr>
                <w:rFonts w:ascii="Times New Roman" w:hAnsi="Times New Roman" w:cs="Times New Roman"/>
              </w:rPr>
              <w:t>2014 -2017</w:t>
            </w:r>
          </w:p>
        </w:tc>
      </w:tr>
      <w:tr w:rsidR="00882CFB" w:rsidRPr="006C1EFE" w:rsidTr="009D4B9E">
        <w:trPr>
          <w:trHeight w:val="600"/>
          <w:tblCellSpacing w:w="5" w:type="nil"/>
        </w:trPr>
        <w:tc>
          <w:tcPr>
            <w:tcW w:w="4678" w:type="dxa"/>
            <w:vMerge/>
            <w:tcBorders>
              <w:left w:val="single" w:sz="4" w:space="0" w:color="auto"/>
              <w:right w:val="single" w:sz="4" w:space="0" w:color="auto"/>
            </w:tcBorders>
            <w:vAlign w:val="center"/>
          </w:tcPr>
          <w:p w:rsidR="00882CFB" w:rsidRPr="006C1EFE" w:rsidRDefault="00882CFB" w:rsidP="009D4B9E">
            <w:pPr>
              <w:pStyle w:val="ConsPlusCell"/>
              <w:jc w:val="center"/>
              <w:rPr>
                <w:rFonts w:ascii="Courier New" w:hAnsi="Courier New" w:cs="Courier New"/>
              </w:rPr>
            </w:pPr>
          </w:p>
        </w:tc>
        <w:tc>
          <w:tcPr>
            <w:tcW w:w="2835" w:type="dxa"/>
            <w:vMerge/>
            <w:tcBorders>
              <w:left w:val="single" w:sz="4" w:space="0" w:color="auto"/>
              <w:right w:val="single" w:sz="4" w:space="0" w:color="auto"/>
            </w:tcBorders>
            <w:vAlign w:val="center"/>
          </w:tcPr>
          <w:p w:rsidR="00882CFB" w:rsidRPr="006C1EFE" w:rsidRDefault="00882CFB" w:rsidP="009D4B9E">
            <w:pPr>
              <w:pStyle w:val="ConsPlusCell"/>
              <w:jc w:val="center"/>
              <w:rPr>
                <w:rFonts w:ascii="Courier New" w:hAnsi="Courier New" w:cs="Courier New"/>
              </w:rPr>
            </w:pPr>
          </w:p>
        </w:tc>
        <w:tc>
          <w:tcPr>
            <w:tcW w:w="6095" w:type="dxa"/>
            <w:tcBorders>
              <w:left w:val="single" w:sz="4" w:space="0" w:color="auto"/>
              <w:bottom w:val="single" w:sz="4" w:space="0" w:color="auto"/>
              <w:right w:val="single" w:sz="4" w:space="0" w:color="auto"/>
            </w:tcBorders>
            <w:vAlign w:val="center"/>
          </w:tcPr>
          <w:p w:rsidR="00882CFB" w:rsidRPr="006C1EFE" w:rsidRDefault="00882CFB" w:rsidP="009D4B9E">
            <w:pPr>
              <w:spacing w:before="60" w:after="60"/>
              <w:rPr>
                <w:rFonts w:ascii="Courier New" w:hAnsi="Courier New" w:cs="Courier New"/>
                <w:sz w:val="22"/>
                <w:szCs w:val="22"/>
              </w:rPr>
            </w:pPr>
            <w:r w:rsidRPr="006C1EFE">
              <w:rPr>
                <w:sz w:val="22"/>
                <w:szCs w:val="22"/>
              </w:rPr>
              <w:t>Реконструкция (частичная замена) внутриквартальных тепловых сетей, в том числе с учетом планируемого обеспечения населения тепловой энергией для ГВС (в т.ч. в летний период).</w:t>
            </w:r>
          </w:p>
        </w:tc>
        <w:tc>
          <w:tcPr>
            <w:tcW w:w="1560" w:type="dxa"/>
            <w:tcBorders>
              <w:left w:val="single" w:sz="4" w:space="0" w:color="auto"/>
              <w:bottom w:val="single" w:sz="4" w:space="0" w:color="auto"/>
              <w:right w:val="single" w:sz="4" w:space="0" w:color="auto"/>
            </w:tcBorders>
            <w:vAlign w:val="center"/>
          </w:tcPr>
          <w:p w:rsidR="00882CFB" w:rsidRPr="006C1EFE" w:rsidRDefault="00882CFB" w:rsidP="009D4B9E">
            <w:pPr>
              <w:pStyle w:val="ConsPlusCell"/>
              <w:jc w:val="center"/>
              <w:rPr>
                <w:rFonts w:ascii="Times New Roman" w:hAnsi="Times New Roman" w:cs="Times New Roman"/>
              </w:rPr>
            </w:pPr>
            <w:r w:rsidRPr="006C1EFE">
              <w:rPr>
                <w:rFonts w:ascii="Times New Roman" w:hAnsi="Times New Roman" w:cs="Times New Roman"/>
              </w:rPr>
              <w:t>2014 - 2017</w:t>
            </w:r>
          </w:p>
        </w:tc>
      </w:tr>
      <w:tr w:rsidR="00882CFB" w:rsidRPr="006C1EFE" w:rsidTr="009D4B9E">
        <w:trPr>
          <w:trHeight w:val="600"/>
          <w:tblCellSpacing w:w="5" w:type="nil"/>
        </w:trPr>
        <w:tc>
          <w:tcPr>
            <w:tcW w:w="4678" w:type="dxa"/>
            <w:vMerge/>
            <w:tcBorders>
              <w:left w:val="single" w:sz="4" w:space="0" w:color="auto"/>
              <w:bottom w:val="single" w:sz="4" w:space="0" w:color="auto"/>
              <w:right w:val="single" w:sz="4" w:space="0" w:color="auto"/>
            </w:tcBorders>
            <w:vAlign w:val="center"/>
          </w:tcPr>
          <w:p w:rsidR="00882CFB" w:rsidRPr="006C1EFE" w:rsidRDefault="00882CFB" w:rsidP="009D4B9E">
            <w:pPr>
              <w:pStyle w:val="ConsPlusCell"/>
              <w:jc w:val="center"/>
              <w:rPr>
                <w:rFonts w:ascii="Courier New" w:hAnsi="Courier New" w:cs="Courier New"/>
              </w:rPr>
            </w:pPr>
          </w:p>
        </w:tc>
        <w:tc>
          <w:tcPr>
            <w:tcW w:w="2835" w:type="dxa"/>
            <w:vMerge/>
            <w:tcBorders>
              <w:left w:val="single" w:sz="4" w:space="0" w:color="auto"/>
              <w:bottom w:val="single" w:sz="4" w:space="0" w:color="auto"/>
              <w:right w:val="single" w:sz="4" w:space="0" w:color="auto"/>
            </w:tcBorders>
            <w:vAlign w:val="center"/>
          </w:tcPr>
          <w:p w:rsidR="00882CFB" w:rsidRPr="006C1EFE" w:rsidRDefault="00882CFB" w:rsidP="009D4B9E">
            <w:pPr>
              <w:pStyle w:val="ConsPlusCell"/>
              <w:jc w:val="center"/>
              <w:rPr>
                <w:rFonts w:ascii="Courier New" w:hAnsi="Courier New" w:cs="Courier New"/>
              </w:rPr>
            </w:pPr>
          </w:p>
        </w:tc>
        <w:tc>
          <w:tcPr>
            <w:tcW w:w="6095" w:type="dxa"/>
            <w:tcBorders>
              <w:left w:val="single" w:sz="4" w:space="0" w:color="auto"/>
              <w:bottom w:val="single" w:sz="4" w:space="0" w:color="auto"/>
              <w:right w:val="single" w:sz="4" w:space="0" w:color="auto"/>
            </w:tcBorders>
            <w:vAlign w:val="center"/>
          </w:tcPr>
          <w:p w:rsidR="00882CFB" w:rsidRPr="006C1EFE" w:rsidRDefault="00882CFB" w:rsidP="009D4B9E">
            <w:pPr>
              <w:spacing w:before="60" w:after="60"/>
              <w:rPr>
                <w:sz w:val="22"/>
                <w:szCs w:val="22"/>
              </w:rPr>
            </w:pPr>
            <w:r w:rsidRPr="006C1EFE">
              <w:rPr>
                <w:sz w:val="22"/>
                <w:szCs w:val="22"/>
              </w:rPr>
              <w:t>Разработка программы перевода на централизованное обеспечение ГВС, определение типа схемы - отрытая/закрытая.</w:t>
            </w:r>
          </w:p>
        </w:tc>
        <w:tc>
          <w:tcPr>
            <w:tcW w:w="1560" w:type="dxa"/>
            <w:tcBorders>
              <w:left w:val="single" w:sz="4" w:space="0" w:color="auto"/>
              <w:bottom w:val="single" w:sz="4" w:space="0" w:color="auto"/>
              <w:right w:val="single" w:sz="4" w:space="0" w:color="auto"/>
            </w:tcBorders>
            <w:vAlign w:val="center"/>
          </w:tcPr>
          <w:p w:rsidR="00882CFB" w:rsidRPr="006C1EFE" w:rsidRDefault="00882CFB" w:rsidP="009D4B9E">
            <w:pPr>
              <w:pStyle w:val="ConsPlusCell"/>
              <w:jc w:val="center"/>
              <w:rPr>
                <w:rFonts w:ascii="Courier New" w:hAnsi="Courier New" w:cs="Courier New"/>
              </w:rPr>
            </w:pPr>
          </w:p>
        </w:tc>
      </w:tr>
    </w:tbl>
    <w:p w:rsidR="00882CFB" w:rsidRDefault="00882CFB" w:rsidP="006B4AB6">
      <w:pPr>
        <w:ind w:right="-144" w:firstLine="709"/>
        <w:jc w:val="both"/>
        <w:rPr>
          <w:sz w:val="26"/>
          <w:szCs w:val="26"/>
        </w:rPr>
      </w:pPr>
    </w:p>
    <w:p w:rsidR="006C1EFE" w:rsidRDefault="006C1EFE" w:rsidP="006B4AB6">
      <w:pPr>
        <w:ind w:right="-144" w:firstLine="709"/>
        <w:jc w:val="both"/>
        <w:rPr>
          <w:sz w:val="26"/>
          <w:szCs w:val="26"/>
        </w:rPr>
        <w:sectPr w:rsidR="006C1EFE" w:rsidSect="006C1EFE">
          <w:pgSz w:w="16838" w:h="11906" w:orient="landscape" w:code="9"/>
          <w:pgMar w:top="851" w:right="1134" w:bottom="1701" w:left="794" w:header="709" w:footer="709" w:gutter="0"/>
          <w:cols w:space="708"/>
          <w:titlePg/>
          <w:docGrid w:linePitch="360"/>
        </w:sectPr>
      </w:pPr>
    </w:p>
    <w:p w:rsidR="00882CFB" w:rsidRDefault="00DE7FC3" w:rsidP="006B4AB6">
      <w:pPr>
        <w:ind w:right="-144" w:firstLine="709"/>
        <w:jc w:val="both"/>
        <w:rPr>
          <w:sz w:val="26"/>
          <w:szCs w:val="26"/>
        </w:rPr>
      </w:pPr>
      <w:r>
        <w:rPr>
          <w:sz w:val="26"/>
          <w:szCs w:val="26"/>
        </w:rPr>
        <w:lastRenderedPageBreak/>
        <w:t xml:space="preserve">г) </w:t>
      </w:r>
      <w:r w:rsidR="00882CFB">
        <w:rPr>
          <w:sz w:val="26"/>
          <w:szCs w:val="26"/>
        </w:rPr>
        <w:t xml:space="preserve">текстовую часть до таблицы № 90 раздела 6 </w:t>
      </w:r>
      <w:r>
        <w:rPr>
          <w:sz w:val="26"/>
          <w:szCs w:val="26"/>
        </w:rPr>
        <w:t xml:space="preserve">«Источники инвестиций, тарифы и доступность программы для населения» </w:t>
      </w:r>
      <w:r w:rsidR="00882CFB">
        <w:rPr>
          <w:sz w:val="26"/>
          <w:szCs w:val="26"/>
        </w:rPr>
        <w:t xml:space="preserve">изложить в </w:t>
      </w:r>
      <w:r>
        <w:rPr>
          <w:sz w:val="26"/>
          <w:szCs w:val="26"/>
        </w:rPr>
        <w:t>следующей</w:t>
      </w:r>
      <w:r w:rsidR="00882CFB">
        <w:rPr>
          <w:sz w:val="26"/>
          <w:szCs w:val="26"/>
        </w:rPr>
        <w:t xml:space="preserve"> редакции: </w:t>
      </w:r>
    </w:p>
    <w:p w:rsidR="00882CFB" w:rsidRPr="00882CFB" w:rsidRDefault="00DE7FC3" w:rsidP="00882CFB">
      <w:pPr>
        <w:ind w:right="-144" w:firstLine="709"/>
        <w:jc w:val="both"/>
        <w:rPr>
          <w:sz w:val="26"/>
          <w:szCs w:val="26"/>
        </w:rPr>
      </w:pPr>
      <w:r>
        <w:rPr>
          <w:sz w:val="26"/>
          <w:szCs w:val="26"/>
        </w:rPr>
        <w:t>«</w:t>
      </w:r>
      <w:r w:rsidR="00882CFB" w:rsidRPr="00882CFB">
        <w:rPr>
          <w:sz w:val="26"/>
          <w:szCs w:val="26"/>
        </w:rPr>
        <w:t>Основными источниками финансирования программных мероприятий являются:</w:t>
      </w:r>
    </w:p>
    <w:p w:rsidR="00882CFB" w:rsidRPr="00882CFB" w:rsidRDefault="00882CFB" w:rsidP="00882CFB">
      <w:pPr>
        <w:pStyle w:val="ConsPlusNonformat"/>
        <w:numPr>
          <w:ilvl w:val="0"/>
          <w:numId w:val="1"/>
        </w:numPr>
        <w:ind w:left="426"/>
        <w:jc w:val="both"/>
        <w:rPr>
          <w:rFonts w:ascii="Times New Roman" w:hAnsi="Times New Roman" w:cs="Times New Roman"/>
          <w:sz w:val="26"/>
          <w:szCs w:val="26"/>
        </w:rPr>
      </w:pPr>
      <w:r w:rsidRPr="00882CFB">
        <w:rPr>
          <w:rFonts w:ascii="Times New Roman" w:hAnsi="Times New Roman" w:cs="Times New Roman"/>
          <w:sz w:val="26"/>
          <w:szCs w:val="26"/>
        </w:rPr>
        <w:t>средства бюджета Находкинского городского округа,</w:t>
      </w:r>
    </w:p>
    <w:p w:rsidR="00882CFB" w:rsidRPr="00882CFB" w:rsidRDefault="00882CFB" w:rsidP="00882CFB">
      <w:pPr>
        <w:pStyle w:val="ConsPlusNonformat"/>
        <w:numPr>
          <w:ilvl w:val="0"/>
          <w:numId w:val="1"/>
        </w:numPr>
        <w:ind w:left="426"/>
        <w:jc w:val="both"/>
        <w:rPr>
          <w:rFonts w:ascii="Times New Roman" w:hAnsi="Times New Roman" w:cs="Times New Roman"/>
          <w:sz w:val="26"/>
          <w:szCs w:val="26"/>
        </w:rPr>
      </w:pPr>
      <w:r w:rsidRPr="00882CFB">
        <w:rPr>
          <w:rFonts w:ascii="Times New Roman" w:hAnsi="Times New Roman" w:cs="Times New Roman"/>
          <w:sz w:val="26"/>
          <w:szCs w:val="26"/>
        </w:rPr>
        <w:t>средства бюджета Приморского края,</w:t>
      </w:r>
    </w:p>
    <w:p w:rsidR="00882CFB" w:rsidRPr="00882CFB" w:rsidRDefault="00882CFB" w:rsidP="00882CFB">
      <w:pPr>
        <w:pStyle w:val="ConsPlusNonformat"/>
        <w:numPr>
          <w:ilvl w:val="0"/>
          <w:numId w:val="1"/>
        </w:numPr>
        <w:ind w:left="426"/>
        <w:jc w:val="both"/>
        <w:rPr>
          <w:rFonts w:ascii="Times New Roman" w:hAnsi="Times New Roman" w:cs="Times New Roman"/>
          <w:sz w:val="26"/>
          <w:szCs w:val="26"/>
        </w:rPr>
      </w:pPr>
      <w:r w:rsidRPr="00882CFB">
        <w:rPr>
          <w:rFonts w:ascii="Times New Roman" w:hAnsi="Times New Roman" w:cs="Times New Roman"/>
          <w:sz w:val="26"/>
          <w:szCs w:val="26"/>
        </w:rPr>
        <w:t>средства федерального бюджета по федеральным целевым программам,</w:t>
      </w:r>
    </w:p>
    <w:p w:rsidR="00882CFB" w:rsidRPr="00882CFB" w:rsidRDefault="00882CFB" w:rsidP="00882CFB">
      <w:pPr>
        <w:pStyle w:val="ConsPlusNonformat"/>
        <w:numPr>
          <w:ilvl w:val="0"/>
          <w:numId w:val="1"/>
        </w:numPr>
        <w:ind w:left="426"/>
        <w:jc w:val="both"/>
        <w:rPr>
          <w:rFonts w:ascii="Times New Roman" w:hAnsi="Times New Roman" w:cs="Times New Roman"/>
          <w:sz w:val="26"/>
          <w:szCs w:val="26"/>
        </w:rPr>
      </w:pPr>
      <w:r w:rsidRPr="00882CFB">
        <w:rPr>
          <w:rFonts w:ascii="Times New Roman" w:hAnsi="Times New Roman" w:cs="Times New Roman"/>
          <w:sz w:val="26"/>
          <w:szCs w:val="26"/>
        </w:rPr>
        <w:t>инвестиционные составляющие экономически обоснованных тарифов и плата за подключение.</w:t>
      </w:r>
    </w:p>
    <w:p w:rsidR="00882CFB" w:rsidRPr="00882CFB" w:rsidRDefault="00882CFB" w:rsidP="00882CFB">
      <w:pPr>
        <w:pStyle w:val="ConsPlusNonformat"/>
        <w:numPr>
          <w:ilvl w:val="0"/>
          <w:numId w:val="1"/>
        </w:numPr>
        <w:ind w:left="426"/>
        <w:jc w:val="both"/>
        <w:rPr>
          <w:rFonts w:ascii="Times New Roman" w:hAnsi="Times New Roman" w:cs="Times New Roman"/>
          <w:sz w:val="26"/>
          <w:szCs w:val="26"/>
        </w:rPr>
      </w:pPr>
      <w:r w:rsidRPr="00882CFB">
        <w:rPr>
          <w:rFonts w:ascii="Times New Roman" w:hAnsi="Times New Roman" w:cs="Times New Roman"/>
          <w:sz w:val="26"/>
          <w:szCs w:val="26"/>
        </w:rPr>
        <w:t>иные внебюджетные источники.</w:t>
      </w:r>
    </w:p>
    <w:p w:rsidR="00882CFB" w:rsidRPr="00882CFB" w:rsidRDefault="00882CFB" w:rsidP="00882CFB">
      <w:pPr>
        <w:pStyle w:val="ConsPlusNonformat"/>
        <w:ind w:firstLine="708"/>
        <w:jc w:val="both"/>
        <w:rPr>
          <w:rFonts w:ascii="Times New Roman" w:hAnsi="Times New Roman" w:cs="Times New Roman"/>
          <w:iCs/>
          <w:sz w:val="26"/>
          <w:szCs w:val="26"/>
        </w:rPr>
      </w:pPr>
      <w:r w:rsidRPr="00882CFB">
        <w:rPr>
          <w:rFonts w:ascii="Times New Roman" w:hAnsi="Times New Roman" w:cs="Times New Roman"/>
          <w:iCs/>
          <w:sz w:val="26"/>
          <w:szCs w:val="26"/>
        </w:rPr>
        <w:t xml:space="preserve">Программа определяет общую стоимость мероприятий по развитию систем коммунальной инфраструктуры Находкинского городского округа. </w:t>
      </w:r>
      <w:r w:rsidRPr="00882CFB">
        <w:rPr>
          <w:rFonts w:ascii="Times New Roman" w:hAnsi="Times New Roman" w:cs="Times New Roman"/>
          <w:sz w:val="26"/>
          <w:szCs w:val="26"/>
        </w:rPr>
        <w:t>Финансовые потребности, необходимые для реализации Программы, составят за период реализации (</w:t>
      </w:r>
      <w:r w:rsidRPr="00882CFB">
        <w:rPr>
          <w:rFonts w:ascii="Times New Roman" w:hAnsi="Times New Roman" w:cs="Times New Roman"/>
          <w:iCs/>
          <w:sz w:val="26"/>
          <w:szCs w:val="26"/>
        </w:rPr>
        <w:t>см. таблица в разделе «Обосновывающие материалы») 6</w:t>
      </w:r>
      <w:r w:rsidRPr="00882CFB">
        <w:rPr>
          <w:rFonts w:ascii="Times New Roman" w:hAnsi="Times New Roman" w:cs="Times New Roman"/>
          <w:sz w:val="26"/>
          <w:szCs w:val="26"/>
        </w:rPr>
        <w:t>8 699,9 млн. руб., в т.ч.:</w:t>
      </w:r>
    </w:p>
    <w:p w:rsidR="00882CFB" w:rsidRPr="00882CFB" w:rsidRDefault="00882CFB" w:rsidP="00882CFB">
      <w:pPr>
        <w:pStyle w:val="ConsPlusNonformat"/>
        <w:jc w:val="both"/>
        <w:rPr>
          <w:rFonts w:ascii="Times New Roman" w:hAnsi="Times New Roman" w:cs="Times New Roman"/>
          <w:sz w:val="26"/>
          <w:szCs w:val="26"/>
        </w:rPr>
      </w:pPr>
      <w:r w:rsidRPr="00882CFB">
        <w:rPr>
          <w:rFonts w:ascii="Times New Roman" w:hAnsi="Times New Roman" w:cs="Times New Roman"/>
          <w:sz w:val="26"/>
          <w:szCs w:val="26"/>
        </w:rPr>
        <w:t xml:space="preserve"> - I этап - 2013 - 2017 г., всего      67350,4 млн. руб.</w:t>
      </w:r>
    </w:p>
    <w:p w:rsidR="00882CFB" w:rsidRPr="00882CFB" w:rsidRDefault="00882CFB" w:rsidP="00882CFB">
      <w:pPr>
        <w:pStyle w:val="ac"/>
        <w:numPr>
          <w:ilvl w:val="0"/>
          <w:numId w:val="2"/>
        </w:numPr>
        <w:autoSpaceDE w:val="0"/>
        <w:autoSpaceDN w:val="0"/>
        <w:adjustRightInd w:val="0"/>
        <w:ind w:left="426"/>
        <w:jc w:val="both"/>
        <w:rPr>
          <w:sz w:val="26"/>
          <w:szCs w:val="26"/>
        </w:rPr>
      </w:pPr>
      <w:r w:rsidRPr="00882CFB">
        <w:rPr>
          <w:sz w:val="26"/>
          <w:szCs w:val="26"/>
        </w:rPr>
        <w:t>мероприятия по реконструкции и модернизации объектов – 1375,5 млн. руб.;</w:t>
      </w:r>
    </w:p>
    <w:p w:rsidR="00882CFB" w:rsidRPr="00882CFB" w:rsidRDefault="00882CFB" w:rsidP="00882CFB">
      <w:pPr>
        <w:pStyle w:val="ConsPlusNonformat"/>
        <w:numPr>
          <w:ilvl w:val="0"/>
          <w:numId w:val="2"/>
        </w:numPr>
        <w:ind w:left="426"/>
        <w:jc w:val="both"/>
        <w:rPr>
          <w:rFonts w:ascii="Times New Roman" w:hAnsi="Times New Roman" w:cs="Times New Roman"/>
          <w:sz w:val="26"/>
          <w:szCs w:val="26"/>
        </w:rPr>
      </w:pPr>
      <w:r w:rsidRPr="00882CFB">
        <w:rPr>
          <w:rFonts w:ascii="Times New Roman" w:hAnsi="Times New Roman" w:cs="Times New Roman"/>
          <w:sz w:val="26"/>
          <w:szCs w:val="26"/>
        </w:rPr>
        <w:t>мероприятия по новому строительству объектов – 65974,9 млн. руб.;</w:t>
      </w:r>
    </w:p>
    <w:p w:rsidR="00882CFB" w:rsidRPr="00882CFB" w:rsidRDefault="00882CFB" w:rsidP="00882CFB">
      <w:pPr>
        <w:pStyle w:val="ConsPlusNonformat"/>
        <w:jc w:val="both"/>
        <w:rPr>
          <w:rFonts w:ascii="Times New Roman" w:hAnsi="Times New Roman" w:cs="Times New Roman"/>
          <w:sz w:val="26"/>
          <w:szCs w:val="26"/>
        </w:rPr>
      </w:pPr>
      <w:r w:rsidRPr="00882CFB">
        <w:rPr>
          <w:rFonts w:ascii="Times New Roman" w:hAnsi="Times New Roman" w:cs="Times New Roman"/>
          <w:sz w:val="26"/>
          <w:szCs w:val="26"/>
        </w:rPr>
        <w:t xml:space="preserve"> - II этап - 2018 - 2025 г., всего     1349,6 млн. руб., в том числе:</w:t>
      </w:r>
    </w:p>
    <w:p w:rsidR="00882CFB" w:rsidRPr="00882CFB" w:rsidRDefault="00882CFB" w:rsidP="00882CFB">
      <w:pPr>
        <w:pStyle w:val="ac"/>
        <w:numPr>
          <w:ilvl w:val="0"/>
          <w:numId w:val="3"/>
        </w:numPr>
        <w:autoSpaceDE w:val="0"/>
        <w:autoSpaceDN w:val="0"/>
        <w:adjustRightInd w:val="0"/>
        <w:ind w:left="426"/>
        <w:jc w:val="both"/>
        <w:rPr>
          <w:sz w:val="26"/>
          <w:szCs w:val="26"/>
        </w:rPr>
      </w:pPr>
      <w:r w:rsidRPr="00882CFB">
        <w:rPr>
          <w:sz w:val="26"/>
          <w:szCs w:val="26"/>
        </w:rPr>
        <w:t>мероприятия по реконструкции и модернизации объектов – 50 млн. руб.;</w:t>
      </w:r>
    </w:p>
    <w:p w:rsidR="00882CFB" w:rsidRPr="00882CFB" w:rsidRDefault="00882CFB" w:rsidP="00882CFB">
      <w:pPr>
        <w:pStyle w:val="ac"/>
        <w:numPr>
          <w:ilvl w:val="0"/>
          <w:numId w:val="3"/>
        </w:numPr>
        <w:autoSpaceDE w:val="0"/>
        <w:autoSpaceDN w:val="0"/>
        <w:adjustRightInd w:val="0"/>
        <w:ind w:left="426"/>
        <w:jc w:val="both"/>
        <w:rPr>
          <w:sz w:val="26"/>
          <w:szCs w:val="26"/>
        </w:rPr>
      </w:pPr>
      <w:r w:rsidRPr="00882CFB">
        <w:rPr>
          <w:sz w:val="26"/>
          <w:szCs w:val="26"/>
        </w:rPr>
        <w:t>мероприятия по новому строительству объектов – 1299,5 млн. руб.</w:t>
      </w:r>
    </w:p>
    <w:p w:rsidR="00882CFB" w:rsidRPr="00882CFB" w:rsidRDefault="00882CFB" w:rsidP="00882CFB">
      <w:pPr>
        <w:pStyle w:val="ac"/>
        <w:autoSpaceDE w:val="0"/>
        <w:autoSpaceDN w:val="0"/>
        <w:adjustRightInd w:val="0"/>
        <w:ind w:left="0" w:firstLine="708"/>
        <w:jc w:val="both"/>
        <w:rPr>
          <w:sz w:val="26"/>
          <w:szCs w:val="26"/>
        </w:rPr>
      </w:pPr>
      <w:r w:rsidRPr="00882CFB">
        <w:rPr>
          <w:iCs/>
          <w:sz w:val="26"/>
          <w:szCs w:val="26"/>
        </w:rPr>
        <w:t>Окончательные о</w:t>
      </w:r>
      <w:r w:rsidRPr="00882CFB">
        <w:rPr>
          <w:sz w:val="26"/>
          <w:szCs w:val="26"/>
        </w:rPr>
        <w:t xml:space="preserve">бъемы и источники финансирования Программы будут определены </w:t>
      </w:r>
      <w:r w:rsidRPr="00882CFB">
        <w:rPr>
          <w:iCs/>
          <w:sz w:val="26"/>
          <w:szCs w:val="26"/>
        </w:rPr>
        <w:t xml:space="preserve">при утверждении </w:t>
      </w:r>
      <w:r w:rsidRPr="00882CFB">
        <w:rPr>
          <w:sz w:val="26"/>
          <w:szCs w:val="26"/>
        </w:rPr>
        <w:t xml:space="preserve">инвестиционных программ организаций коммунального комплекса по развитию системы коммунальной инфраструктуры в соответствии со </w:t>
      </w:r>
      <w:hyperlink r:id="rId9" w:history="1">
        <w:r w:rsidRPr="00882CFB">
          <w:rPr>
            <w:sz w:val="26"/>
            <w:szCs w:val="26"/>
          </w:rPr>
          <w:t>ст. 10</w:t>
        </w:r>
      </w:hyperlink>
      <w:r w:rsidRPr="00882CFB">
        <w:rPr>
          <w:sz w:val="26"/>
          <w:szCs w:val="26"/>
        </w:rPr>
        <w:t xml:space="preserve"> Федерального закона от 30 декабря 2004 года N 210. Реализация Программы не предполагает прямого финансирования программных мероприятий из каких-либо не запрещенных законом источников. Финансирование исполнения программных мероприятий будет осуществляться посредством финансирования инвестиционных программ организаций коммунального комплекса по развитию системы коммунальной инфраструктуры, муниципальных целевых программ, софинансирования государственных программ Приморского края, а также иных механизмов бюджетного и внебюджетного финансирования.</w:t>
      </w:r>
    </w:p>
    <w:p w:rsidR="00882CFB" w:rsidRPr="00882CFB" w:rsidRDefault="00882CFB" w:rsidP="00882CFB">
      <w:pPr>
        <w:autoSpaceDE w:val="0"/>
        <w:autoSpaceDN w:val="0"/>
        <w:adjustRightInd w:val="0"/>
        <w:jc w:val="both"/>
        <w:rPr>
          <w:sz w:val="26"/>
          <w:szCs w:val="26"/>
        </w:rPr>
      </w:pPr>
      <w:r w:rsidRPr="00882CFB">
        <w:rPr>
          <w:sz w:val="26"/>
          <w:szCs w:val="26"/>
        </w:rPr>
        <w:t>Предварительная оценка стоимости строительства ТЭС ВНХК составляет 50300,0 млн  руб. Источник финансирования – собственные или заемные средства ОАО «НК «Роснефть» (уточняется после завершения проектных работ).</w:t>
      </w:r>
    </w:p>
    <w:p w:rsidR="00882CFB" w:rsidRPr="00882CFB" w:rsidRDefault="00882CFB" w:rsidP="00882CFB">
      <w:pPr>
        <w:pStyle w:val="ConsPlusNonformat"/>
        <w:ind w:firstLine="708"/>
        <w:jc w:val="both"/>
        <w:rPr>
          <w:rFonts w:ascii="Times New Roman" w:hAnsi="Times New Roman" w:cs="Times New Roman"/>
          <w:sz w:val="26"/>
          <w:szCs w:val="26"/>
        </w:rPr>
      </w:pPr>
      <w:r w:rsidRPr="00882CFB">
        <w:rPr>
          <w:rFonts w:ascii="Times New Roman" w:hAnsi="Times New Roman" w:cs="Times New Roman"/>
          <w:sz w:val="26"/>
          <w:szCs w:val="26"/>
        </w:rPr>
        <w:t>Включенные в Программу инвестиционные проекты коммерческого характера будут осуществляться преимущественно за счет собственных средств предприятий и привлечения кредитных ресурсов коммерческих банков.</w:t>
      </w:r>
    </w:p>
    <w:p w:rsidR="00882CFB" w:rsidRPr="00882CFB" w:rsidRDefault="00882CFB" w:rsidP="00882CFB">
      <w:pPr>
        <w:autoSpaceDE w:val="0"/>
        <w:autoSpaceDN w:val="0"/>
        <w:adjustRightInd w:val="0"/>
        <w:ind w:firstLine="540"/>
        <w:jc w:val="both"/>
        <w:rPr>
          <w:sz w:val="26"/>
          <w:szCs w:val="26"/>
        </w:rPr>
      </w:pPr>
      <w:r w:rsidRPr="00882CFB">
        <w:rPr>
          <w:sz w:val="26"/>
          <w:szCs w:val="26"/>
        </w:rPr>
        <w:t>Объемы финансирования из бюджета Находкинского городского округа устанавливаются при формировании бюджета на соответствующий год.</w:t>
      </w:r>
      <w:r w:rsidR="00DE7FC3">
        <w:rPr>
          <w:sz w:val="26"/>
          <w:szCs w:val="26"/>
        </w:rPr>
        <w:t>»;</w:t>
      </w:r>
    </w:p>
    <w:p w:rsidR="00882CFB" w:rsidRPr="00CB524A" w:rsidRDefault="00882CFB" w:rsidP="00882CFB">
      <w:pPr>
        <w:rPr>
          <w:sz w:val="24"/>
          <w:szCs w:val="24"/>
        </w:rPr>
      </w:pPr>
    </w:p>
    <w:p w:rsidR="00882CFB" w:rsidRDefault="00882CFB" w:rsidP="00882CFB">
      <w:pPr>
        <w:rPr>
          <w:b/>
          <w:sz w:val="32"/>
          <w:szCs w:val="32"/>
        </w:rPr>
      </w:pPr>
    </w:p>
    <w:p w:rsidR="00882CFB" w:rsidRDefault="00882CFB" w:rsidP="00882CFB">
      <w:pPr>
        <w:rPr>
          <w:b/>
          <w:sz w:val="32"/>
          <w:szCs w:val="32"/>
        </w:rPr>
      </w:pPr>
    </w:p>
    <w:p w:rsidR="006C1EFE" w:rsidRDefault="006C1EFE" w:rsidP="00882CFB">
      <w:pPr>
        <w:rPr>
          <w:b/>
          <w:sz w:val="32"/>
          <w:szCs w:val="32"/>
        </w:rPr>
        <w:sectPr w:rsidR="006C1EFE" w:rsidSect="006B50A5">
          <w:pgSz w:w="11906" w:h="16838" w:code="9"/>
          <w:pgMar w:top="794" w:right="851" w:bottom="1134" w:left="1701" w:header="709" w:footer="709" w:gutter="0"/>
          <w:cols w:space="708"/>
          <w:titlePg/>
          <w:docGrid w:linePitch="360"/>
        </w:sectPr>
      </w:pPr>
    </w:p>
    <w:p w:rsidR="00DE7FC3" w:rsidRDefault="00DE7FC3" w:rsidP="00DE7FC3">
      <w:pPr>
        <w:ind w:right="-144" w:firstLine="709"/>
        <w:jc w:val="both"/>
        <w:rPr>
          <w:sz w:val="26"/>
          <w:szCs w:val="26"/>
        </w:rPr>
      </w:pPr>
      <w:r>
        <w:rPr>
          <w:sz w:val="26"/>
          <w:szCs w:val="26"/>
        </w:rPr>
        <w:lastRenderedPageBreak/>
        <w:t>2) в части «обосновывающие материалы»:</w:t>
      </w:r>
    </w:p>
    <w:p w:rsidR="00E02E4C" w:rsidRDefault="00E02E4C" w:rsidP="00DE7FC3">
      <w:pPr>
        <w:ind w:right="-144" w:firstLine="709"/>
        <w:jc w:val="both"/>
        <w:rPr>
          <w:sz w:val="26"/>
          <w:szCs w:val="26"/>
        </w:rPr>
      </w:pPr>
    </w:p>
    <w:p w:rsidR="00E02E4C" w:rsidRPr="00E02E4C" w:rsidRDefault="00E02E4C" w:rsidP="00E02E4C">
      <w:pPr>
        <w:autoSpaceDE w:val="0"/>
        <w:autoSpaceDN w:val="0"/>
        <w:adjustRightInd w:val="0"/>
        <w:spacing w:after="200" w:line="276" w:lineRule="auto"/>
        <w:ind w:firstLine="709"/>
        <w:outlineLvl w:val="4"/>
        <w:rPr>
          <w:sz w:val="26"/>
          <w:szCs w:val="26"/>
        </w:rPr>
      </w:pPr>
      <w:r w:rsidRPr="00E02E4C">
        <w:rPr>
          <w:sz w:val="26"/>
          <w:szCs w:val="26"/>
        </w:rPr>
        <w:t xml:space="preserve">а) </w:t>
      </w:r>
      <w:r w:rsidR="006802A9">
        <w:rPr>
          <w:sz w:val="26"/>
          <w:szCs w:val="26"/>
        </w:rPr>
        <w:t>н</w:t>
      </w:r>
      <w:r w:rsidRPr="00E02E4C">
        <w:rPr>
          <w:sz w:val="26"/>
          <w:szCs w:val="26"/>
        </w:rPr>
        <w:t xml:space="preserve">азвание подраздела «1.1. </w:t>
      </w:r>
      <w:r w:rsidRPr="00E02E4C">
        <w:rPr>
          <w:color w:val="000000" w:themeColor="text1"/>
          <w:sz w:val="26"/>
          <w:szCs w:val="26"/>
        </w:rPr>
        <w:t>Прогноз численности и состава населения</w:t>
      </w:r>
      <w:r>
        <w:rPr>
          <w:b/>
          <w:color w:val="000000" w:themeColor="text1"/>
          <w:sz w:val="26"/>
          <w:szCs w:val="26"/>
        </w:rPr>
        <w:t xml:space="preserve">»  </w:t>
      </w:r>
      <w:r>
        <w:rPr>
          <w:color w:val="000000" w:themeColor="text1"/>
          <w:sz w:val="26"/>
          <w:szCs w:val="26"/>
        </w:rPr>
        <w:t>раздела  1. Перспективные показатели развития Находкинского г</w:t>
      </w:r>
      <w:r w:rsidR="00C310FD">
        <w:rPr>
          <w:color w:val="000000" w:themeColor="text1"/>
          <w:sz w:val="26"/>
          <w:szCs w:val="26"/>
        </w:rPr>
        <w:t>ородского округа</w:t>
      </w:r>
      <w:r>
        <w:rPr>
          <w:color w:val="000000" w:themeColor="text1"/>
          <w:sz w:val="26"/>
          <w:szCs w:val="26"/>
        </w:rPr>
        <w:t xml:space="preserve"> </w:t>
      </w:r>
      <w:r>
        <w:rPr>
          <w:b/>
          <w:color w:val="000000" w:themeColor="text1"/>
          <w:sz w:val="26"/>
          <w:szCs w:val="26"/>
        </w:rPr>
        <w:t xml:space="preserve"> </w:t>
      </w:r>
      <w:r w:rsidRPr="00E02E4C">
        <w:rPr>
          <w:color w:val="000000" w:themeColor="text1"/>
          <w:sz w:val="26"/>
          <w:szCs w:val="26"/>
        </w:rPr>
        <w:t>изложить</w:t>
      </w:r>
      <w:r>
        <w:rPr>
          <w:b/>
          <w:sz w:val="32"/>
          <w:szCs w:val="32"/>
        </w:rPr>
        <w:t xml:space="preserve"> </w:t>
      </w:r>
      <w:r w:rsidRPr="00E02E4C">
        <w:rPr>
          <w:sz w:val="26"/>
          <w:szCs w:val="26"/>
        </w:rPr>
        <w:t>в следующей  редакции</w:t>
      </w:r>
      <w:r>
        <w:rPr>
          <w:sz w:val="26"/>
          <w:szCs w:val="26"/>
        </w:rPr>
        <w:t>: «</w:t>
      </w:r>
      <w:r w:rsidRPr="00E02E4C">
        <w:rPr>
          <w:sz w:val="26"/>
          <w:szCs w:val="26"/>
        </w:rPr>
        <w:t>1.</w:t>
      </w:r>
      <w:r>
        <w:rPr>
          <w:sz w:val="26"/>
          <w:szCs w:val="26"/>
        </w:rPr>
        <w:t>2</w:t>
      </w:r>
      <w:r w:rsidRPr="00E02E4C">
        <w:rPr>
          <w:sz w:val="26"/>
          <w:szCs w:val="26"/>
        </w:rPr>
        <w:t xml:space="preserve">. </w:t>
      </w:r>
      <w:r w:rsidRPr="00E02E4C">
        <w:rPr>
          <w:color w:val="000000" w:themeColor="text1"/>
          <w:sz w:val="26"/>
          <w:szCs w:val="26"/>
        </w:rPr>
        <w:t>Прогноз численности и состава населения</w:t>
      </w:r>
      <w:r w:rsidRPr="00C310FD">
        <w:rPr>
          <w:color w:val="000000" w:themeColor="text1"/>
          <w:sz w:val="26"/>
          <w:szCs w:val="26"/>
        </w:rPr>
        <w:t>»</w:t>
      </w:r>
      <w:r w:rsidR="00C310FD" w:rsidRPr="00C310FD">
        <w:rPr>
          <w:color w:val="000000" w:themeColor="text1"/>
          <w:sz w:val="26"/>
          <w:szCs w:val="26"/>
        </w:rPr>
        <w:t>;</w:t>
      </w:r>
    </w:p>
    <w:p w:rsidR="00753F3A" w:rsidRDefault="00E02E4C" w:rsidP="008B0A76">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б</w:t>
      </w:r>
      <w:r w:rsidR="00753F3A" w:rsidRPr="008B0A76">
        <w:rPr>
          <w:rFonts w:ascii="Times New Roman" w:hAnsi="Times New Roman" w:cs="Times New Roman"/>
          <w:sz w:val="26"/>
          <w:szCs w:val="26"/>
        </w:rPr>
        <w:t>)</w:t>
      </w:r>
      <w:r w:rsidR="008B0A76" w:rsidRPr="008B0A76">
        <w:rPr>
          <w:rFonts w:ascii="Times New Roman" w:hAnsi="Times New Roman" w:cs="Times New Roman"/>
          <w:sz w:val="26"/>
          <w:szCs w:val="26"/>
        </w:rPr>
        <w:t xml:space="preserve"> </w:t>
      </w:r>
      <w:r w:rsidR="004B48BD">
        <w:rPr>
          <w:rFonts w:ascii="Times New Roman" w:hAnsi="Times New Roman" w:cs="Times New Roman"/>
          <w:sz w:val="26"/>
          <w:szCs w:val="26"/>
        </w:rPr>
        <w:t>таблицу № 16 подраздела 1.4</w:t>
      </w:r>
      <w:r w:rsidR="00DE7FC3">
        <w:rPr>
          <w:rFonts w:ascii="Times New Roman" w:hAnsi="Times New Roman" w:cs="Times New Roman"/>
          <w:sz w:val="26"/>
          <w:szCs w:val="26"/>
        </w:rPr>
        <w:t xml:space="preserve"> «Прогноз застройки Находкинского городского округа»</w:t>
      </w:r>
      <w:r w:rsidR="004B48BD">
        <w:rPr>
          <w:rFonts w:ascii="Times New Roman" w:hAnsi="Times New Roman" w:cs="Times New Roman"/>
          <w:sz w:val="26"/>
          <w:szCs w:val="26"/>
        </w:rPr>
        <w:t xml:space="preserve"> раздела 1 </w:t>
      </w:r>
      <w:r w:rsidR="00DE7FC3">
        <w:rPr>
          <w:rFonts w:ascii="Times New Roman" w:hAnsi="Times New Roman" w:cs="Times New Roman"/>
          <w:sz w:val="26"/>
          <w:szCs w:val="26"/>
        </w:rPr>
        <w:t xml:space="preserve">«Перспективные показатели развития Находкинского городского округа» </w:t>
      </w:r>
      <w:r w:rsidR="004B48BD">
        <w:rPr>
          <w:rFonts w:ascii="Times New Roman" w:hAnsi="Times New Roman" w:cs="Times New Roman"/>
          <w:sz w:val="26"/>
          <w:szCs w:val="26"/>
        </w:rPr>
        <w:t xml:space="preserve">изложить в </w:t>
      </w:r>
      <w:r w:rsidR="00DE7FC3">
        <w:rPr>
          <w:rFonts w:ascii="Times New Roman" w:hAnsi="Times New Roman" w:cs="Times New Roman"/>
          <w:sz w:val="26"/>
          <w:szCs w:val="26"/>
        </w:rPr>
        <w:t>следующей</w:t>
      </w:r>
      <w:r w:rsidR="004B48BD">
        <w:rPr>
          <w:rFonts w:ascii="Times New Roman" w:hAnsi="Times New Roman" w:cs="Times New Roman"/>
          <w:sz w:val="26"/>
          <w:szCs w:val="26"/>
        </w:rPr>
        <w:t xml:space="preserve"> редакции:</w:t>
      </w:r>
    </w:p>
    <w:tbl>
      <w:tblPr>
        <w:tblW w:w="15066" w:type="dxa"/>
        <w:tblLayout w:type="fixed"/>
        <w:tblCellMar>
          <w:left w:w="40" w:type="dxa"/>
          <w:right w:w="40" w:type="dxa"/>
        </w:tblCellMar>
        <w:tblLook w:val="0000"/>
      </w:tblPr>
      <w:tblGrid>
        <w:gridCol w:w="3124"/>
        <w:gridCol w:w="1452"/>
        <w:gridCol w:w="5103"/>
        <w:gridCol w:w="5387"/>
      </w:tblGrid>
      <w:tr w:rsidR="004B48BD" w:rsidRPr="006C1EFE" w:rsidTr="009D4B9E">
        <w:trPr>
          <w:trHeight w:val="737"/>
          <w:tblHeader/>
        </w:trPr>
        <w:tc>
          <w:tcPr>
            <w:tcW w:w="3124" w:type="dxa"/>
            <w:tcBorders>
              <w:top w:val="single" w:sz="4" w:space="0" w:color="000000"/>
              <w:left w:val="single" w:sz="4" w:space="0" w:color="000000"/>
              <w:bottom w:val="single" w:sz="4" w:space="0" w:color="000000"/>
            </w:tcBorders>
            <w:shd w:val="clear" w:color="auto" w:fill="FFFFFF"/>
            <w:vAlign w:val="center"/>
          </w:tcPr>
          <w:p w:rsidR="004B48BD" w:rsidRPr="006C1EFE" w:rsidRDefault="004B48BD" w:rsidP="009D4B9E">
            <w:pPr>
              <w:shd w:val="clear" w:color="auto" w:fill="FFFFFF"/>
              <w:snapToGrid w:val="0"/>
              <w:ind w:left="7" w:right="742"/>
              <w:rPr>
                <w:bCs/>
                <w:color w:val="000000" w:themeColor="text1"/>
                <w:sz w:val="22"/>
                <w:szCs w:val="22"/>
              </w:rPr>
            </w:pPr>
            <w:r w:rsidRPr="006C1EFE">
              <w:rPr>
                <w:bCs/>
                <w:color w:val="000000" w:themeColor="text1"/>
                <w:sz w:val="22"/>
                <w:szCs w:val="22"/>
              </w:rPr>
              <w:t>Наименование мероприятия, проекта</w:t>
            </w:r>
          </w:p>
        </w:tc>
        <w:tc>
          <w:tcPr>
            <w:tcW w:w="1452" w:type="dxa"/>
            <w:tcBorders>
              <w:top w:val="single" w:sz="4" w:space="0" w:color="000000"/>
              <w:left w:val="single" w:sz="4" w:space="0" w:color="000000"/>
              <w:bottom w:val="single" w:sz="4" w:space="0" w:color="000000"/>
            </w:tcBorders>
            <w:shd w:val="clear" w:color="auto" w:fill="FFFFFF"/>
            <w:vAlign w:val="center"/>
          </w:tcPr>
          <w:p w:rsidR="004B48BD" w:rsidRPr="006C1EFE" w:rsidRDefault="004B48BD" w:rsidP="009D4B9E">
            <w:pPr>
              <w:shd w:val="clear" w:color="auto" w:fill="FFFFFF"/>
              <w:snapToGrid w:val="0"/>
              <w:ind w:right="101" w:firstLine="7"/>
              <w:jc w:val="center"/>
              <w:rPr>
                <w:bCs/>
                <w:color w:val="000000" w:themeColor="text1"/>
                <w:sz w:val="22"/>
                <w:szCs w:val="22"/>
              </w:rPr>
            </w:pPr>
            <w:r w:rsidRPr="006C1EFE">
              <w:rPr>
                <w:bCs/>
                <w:color w:val="000000" w:themeColor="text1"/>
                <w:sz w:val="22"/>
                <w:szCs w:val="22"/>
              </w:rPr>
              <w:t>Сроки реализации</w:t>
            </w:r>
          </w:p>
        </w:tc>
        <w:tc>
          <w:tcPr>
            <w:tcW w:w="5103" w:type="dxa"/>
            <w:tcBorders>
              <w:top w:val="single" w:sz="4" w:space="0" w:color="000000"/>
              <w:left w:val="single" w:sz="4" w:space="0" w:color="000000"/>
              <w:bottom w:val="single" w:sz="4" w:space="0" w:color="000000"/>
            </w:tcBorders>
            <w:shd w:val="clear" w:color="auto" w:fill="FFFFFF"/>
            <w:vAlign w:val="center"/>
          </w:tcPr>
          <w:p w:rsidR="004B48BD" w:rsidRPr="006C1EFE" w:rsidRDefault="004B48BD" w:rsidP="009D4B9E">
            <w:pPr>
              <w:shd w:val="clear" w:color="auto" w:fill="FFFFFF"/>
              <w:snapToGrid w:val="0"/>
              <w:ind w:right="43" w:firstLine="7"/>
              <w:jc w:val="center"/>
              <w:rPr>
                <w:bCs/>
                <w:color w:val="000000" w:themeColor="text1"/>
                <w:sz w:val="22"/>
                <w:szCs w:val="22"/>
              </w:rPr>
            </w:pPr>
            <w:r w:rsidRPr="006C1EFE">
              <w:rPr>
                <w:bCs/>
                <w:color w:val="000000" w:themeColor="text1"/>
                <w:sz w:val="22"/>
                <w:szCs w:val="22"/>
              </w:rPr>
              <w:t>Описание проекта</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BD" w:rsidRPr="006C1EFE" w:rsidRDefault="004B48BD" w:rsidP="009D4B9E">
            <w:pPr>
              <w:shd w:val="clear" w:color="auto" w:fill="FFFFFF"/>
              <w:snapToGrid w:val="0"/>
              <w:ind w:right="209"/>
              <w:jc w:val="center"/>
              <w:rPr>
                <w:bCs/>
                <w:color w:val="000000" w:themeColor="text1"/>
                <w:spacing w:val="-1"/>
                <w:sz w:val="22"/>
                <w:szCs w:val="22"/>
              </w:rPr>
            </w:pPr>
            <w:r w:rsidRPr="006C1EFE">
              <w:rPr>
                <w:bCs/>
                <w:color w:val="000000" w:themeColor="text1"/>
                <w:spacing w:val="-1"/>
                <w:sz w:val="22"/>
                <w:szCs w:val="22"/>
              </w:rPr>
              <w:t>Ожидаемые результаты</w:t>
            </w:r>
          </w:p>
        </w:tc>
      </w:tr>
      <w:tr w:rsidR="004B48BD" w:rsidRPr="006C1EFE" w:rsidTr="009D4B9E">
        <w:trPr>
          <w:trHeight w:val="454"/>
        </w:trPr>
        <w:tc>
          <w:tcPr>
            <w:tcW w:w="150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B48BD" w:rsidRPr="006C1EFE" w:rsidRDefault="004B48BD" w:rsidP="009D4B9E">
            <w:pPr>
              <w:shd w:val="clear" w:color="auto" w:fill="FFFFFF"/>
              <w:snapToGrid w:val="0"/>
              <w:ind w:right="209"/>
              <w:rPr>
                <w:bCs/>
                <w:color w:val="000000" w:themeColor="text1"/>
                <w:spacing w:val="-1"/>
                <w:sz w:val="22"/>
                <w:szCs w:val="22"/>
              </w:rPr>
            </w:pPr>
            <w:r w:rsidRPr="006C1EFE">
              <w:rPr>
                <w:bCs/>
                <w:color w:val="000000" w:themeColor="text1"/>
                <w:spacing w:val="-1"/>
                <w:sz w:val="22"/>
                <w:szCs w:val="22"/>
              </w:rPr>
              <w:t>Раздел 1. Развитие реального сектора экономики</w:t>
            </w:r>
          </w:p>
        </w:tc>
      </w:tr>
      <w:tr w:rsidR="004B48BD" w:rsidRPr="006C1EFE" w:rsidTr="009D4B9E">
        <w:trPr>
          <w:trHeight w:val="851"/>
        </w:trPr>
        <w:tc>
          <w:tcPr>
            <w:tcW w:w="3124"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napToGrid w:val="0"/>
              <w:spacing w:before="60" w:after="60"/>
              <w:rPr>
                <w:color w:val="000000" w:themeColor="text1"/>
                <w:sz w:val="22"/>
                <w:szCs w:val="22"/>
              </w:rPr>
            </w:pPr>
            <w:r w:rsidRPr="006C1EFE">
              <w:rPr>
                <w:color w:val="000000" w:themeColor="text1"/>
                <w:sz w:val="22"/>
                <w:szCs w:val="22"/>
              </w:rPr>
              <w:t xml:space="preserve">Развитие порта Восточный для перевалки экспортно-импортных грузов. </w:t>
            </w:r>
          </w:p>
          <w:p w:rsidR="004B48BD" w:rsidRPr="006C1EFE" w:rsidRDefault="004B48BD" w:rsidP="009D4B9E">
            <w:pPr>
              <w:snapToGrid w:val="0"/>
              <w:spacing w:before="60" w:after="60"/>
              <w:rPr>
                <w:color w:val="000000" w:themeColor="text1"/>
                <w:sz w:val="22"/>
                <w:szCs w:val="22"/>
              </w:rPr>
            </w:pPr>
            <w:r w:rsidRPr="006C1EFE">
              <w:rPr>
                <w:color w:val="000000" w:themeColor="text1"/>
                <w:sz w:val="22"/>
                <w:szCs w:val="22"/>
              </w:rPr>
              <w:t>Строительство 3-й очереди угольного комплекса ОАО «Восточный Порт».</w:t>
            </w:r>
          </w:p>
        </w:tc>
        <w:tc>
          <w:tcPr>
            <w:tcW w:w="1452"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napToGrid w:val="0"/>
              <w:spacing w:before="60" w:after="60"/>
              <w:ind w:hanging="5"/>
              <w:rPr>
                <w:bCs/>
                <w:color w:val="000000" w:themeColor="text1"/>
                <w:spacing w:val="-2"/>
                <w:sz w:val="22"/>
                <w:szCs w:val="22"/>
              </w:rPr>
            </w:pPr>
            <w:r w:rsidRPr="006C1EFE">
              <w:rPr>
                <w:color w:val="000000" w:themeColor="text1"/>
                <w:sz w:val="22"/>
                <w:szCs w:val="22"/>
              </w:rPr>
              <w:t>2013-2016 годы</w:t>
            </w:r>
          </w:p>
        </w:tc>
        <w:tc>
          <w:tcPr>
            <w:tcW w:w="5103"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napToGrid w:val="0"/>
              <w:spacing w:before="60" w:after="60"/>
              <w:rPr>
                <w:color w:val="000000" w:themeColor="text1"/>
                <w:sz w:val="22"/>
                <w:szCs w:val="22"/>
              </w:rPr>
            </w:pPr>
            <w:r w:rsidRPr="006C1EFE">
              <w:rPr>
                <w:color w:val="000000" w:themeColor="text1"/>
                <w:sz w:val="22"/>
                <w:szCs w:val="22"/>
              </w:rPr>
              <w:t>Строительство 3-й очереди угольного комплекса ОАО «Восточный Порт».</w:t>
            </w:r>
          </w:p>
          <w:p w:rsidR="004B48BD" w:rsidRPr="006C1EFE" w:rsidRDefault="004B48BD" w:rsidP="009D4B9E">
            <w:pPr>
              <w:snapToGrid w:val="0"/>
              <w:spacing w:before="60" w:after="60"/>
              <w:rPr>
                <w:bCs/>
                <w:color w:val="000000" w:themeColor="text1"/>
                <w:spacing w:val="-2"/>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4B48BD" w:rsidRPr="006C1EFE" w:rsidRDefault="004B48BD" w:rsidP="009D4B9E">
            <w:pPr>
              <w:shd w:val="clear" w:color="auto" w:fill="FFFFFF"/>
              <w:snapToGrid w:val="0"/>
              <w:spacing w:before="60" w:after="60"/>
              <w:ind w:right="210"/>
              <w:rPr>
                <w:b/>
                <w:bCs/>
                <w:color w:val="000000" w:themeColor="text1"/>
                <w:spacing w:val="-1"/>
                <w:sz w:val="22"/>
                <w:szCs w:val="22"/>
              </w:rPr>
            </w:pPr>
            <w:r w:rsidRPr="006C1EFE">
              <w:rPr>
                <w:color w:val="000000" w:themeColor="text1"/>
                <w:sz w:val="22"/>
                <w:szCs w:val="22"/>
              </w:rPr>
              <w:t>Реализация проектов по развитию ППК-3 (Угольный комплекс) и ППК-1 (Универсальный комплекс) позволит оценочно увеличить объем перевалки с 17 млн. тонн в год до 35 млн. тонн в год.</w:t>
            </w:r>
          </w:p>
        </w:tc>
      </w:tr>
      <w:tr w:rsidR="004B48BD" w:rsidRPr="006C1EFE" w:rsidTr="009D4B9E">
        <w:trPr>
          <w:trHeight w:val="851"/>
        </w:trPr>
        <w:tc>
          <w:tcPr>
            <w:tcW w:w="3124"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napToGrid w:val="0"/>
              <w:spacing w:before="60" w:after="60"/>
              <w:rPr>
                <w:color w:val="000000" w:themeColor="text1"/>
                <w:sz w:val="22"/>
                <w:szCs w:val="22"/>
              </w:rPr>
            </w:pPr>
            <w:r w:rsidRPr="006C1EFE">
              <w:rPr>
                <w:color w:val="000000" w:themeColor="text1"/>
                <w:sz w:val="22"/>
                <w:szCs w:val="22"/>
              </w:rPr>
              <w:t xml:space="preserve">Строительство нефтехимического комплекса мощностью 10 млн. тонн в год перерабатываемого углеродного сырья ЗАО «Восточная нефтехимическая компания». </w:t>
            </w:r>
          </w:p>
          <w:p w:rsidR="004B48BD" w:rsidRPr="006C1EFE" w:rsidRDefault="004B48BD" w:rsidP="009D4B9E">
            <w:pPr>
              <w:snapToGrid w:val="0"/>
              <w:spacing w:before="60" w:after="60"/>
              <w:rPr>
                <w:color w:val="000000" w:themeColor="text1"/>
                <w:sz w:val="22"/>
                <w:szCs w:val="22"/>
              </w:rPr>
            </w:pPr>
          </w:p>
        </w:tc>
        <w:tc>
          <w:tcPr>
            <w:tcW w:w="1452"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napToGrid w:val="0"/>
              <w:spacing w:before="60" w:after="60"/>
              <w:ind w:hanging="5"/>
              <w:rPr>
                <w:color w:val="000000" w:themeColor="text1"/>
                <w:sz w:val="22"/>
                <w:szCs w:val="22"/>
              </w:rPr>
            </w:pPr>
            <w:r w:rsidRPr="006C1EFE">
              <w:rPr>
                <w:color w:val="000000" w:themeColor="text1"/>
                <w:sz w:val="22"/>
                <w:szCs w:val="22"/>
              </w:rPr>
              <w:t>2013-2017 годы</w:t>
            </w:r>
          </w:p>
        </w:tc>
        <w:tc>
          <w:tcPr>
            <w:tcW w:w="5103"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napToGrid w:val="0"/>
              <w:spacing w:before="60" w:after="60"/>
              <w:rPr>
                <w:sz w:val="22"/>
                <w:szCs w:val="22"/>
              </w:rPr>
            </w:pPr>
            <w:r w:rsidRPr="006C1EFE">
              <w:rPr>
                <w:sz w:val="22"/>
                <w:szCs w:val="22"/>
              </w:rPr>
              <w:t>Проект планируется реализовать в 2 этапа:</w:t>
            </w:r>
          </w:p>
          <w:p w:rsidR="004B48BD" w:rsidRPr="006C1EFE" w:rsidRDefault="004B48BD" w:rsidP="009D4B9E">
            <w:pPr>
              <w:snapToGrid w:val="0"/>
              <w:spacing w:before="60" w:after="60"/>
              <w:rPr>
                <w:sz w:val="22"/>
                <w:szCs w:val="22"/>
              </w:rPr>
            </w:pPr>
            <w:r w:rsidRPr="006C1EFE">
              <w:rPr>
                <w:sz w:val="22"/>
                <w:szCs w:val="22"/>
              </w:rPr>
              <w:t>1-й этап - переработка 3,4 млн. т/год смесевой нафты и сжиженного углеродного газа от Комсомольского и Ачинского НПЗ, Ангарской НХК с выпуском нефтехимической продукции до 3,2 млн.т/год;</w:t>
            </w:r>
          </w:p>
          <w:p w:rsidR="004B48BD" w:rsidRPr="006C1EFE" w:rsidRDefault="004B48BD" w:rsidP="009D4B9E">
            <w:pPr>
              <w:snapToGrid w:val="0"/>
              <w:spacing w:before="60" w:after="60"/>
              <w:rPr>
                <w:sz w:val="22"/>
                <w:szCs w:val="22"/>
              </w:rPr>
            </w:pPr>
            <w:r w:rsidRPr="006C1EFE">
              <w:rPr>
                <w:sz w:val="22"/>
                <w:szCs w:val="22"/>
              </w:rPr>
              <w:t>2-й этап – производство автобензинов, дизельного топлива, керосина, бункерного топлива. Планируется дополнительная переработка 7 млн. т нефти с дополнительным выпуском нефтепродуктов по балансу до 4,4 млн.т/год и увеличением нефтехимических мощностей.</w:t>
            </w:r>
          </w:p>
          <w:p w:rsidR="004B48BD" w:rsidRPr="006C1EFE" w:rsidRDefault="004B48BD" w:rsidP="009D4B9E">
            <w:pPr>
              <w:snapToGrid w:val="0"/>
              <w:spacing w:before="60" w:after="60"/>
              <w:rPr>
                <w:sz w:val="22"/>
                <w:szCs w:val="22"/>
              </w:rPr>
            </w:pPr>
            <w:r w:rsidRPr="006C1EFE">
              <w:rPr>
                <w:sz w:val="22"/>
                <w:szCs w:val="22"/>
              </w:rPr>
              <w:t xml:space="preserve">В рамках проекта будет построен специализированный морской терминал для отгрузки готовой продукции мощностью 11,1 млн. т наливных грузов в год на этапе полного развития. Предприятие будет выпускать полиэтилен, </w:t>
            </w:r>
            <w:r w:rsidRPr="006C1EFE">
              <w:rPr>
                <w:sz w:val="22"/>
                <w:szCs w:val="22"/>
              </w:rPr>
              <w:lastRenderedPageBreak/>
              <w:t>полипропилен, и ряд других продуктов нефтехимии. Целевыми рынками нового нефтехимического комплекса в Приморье станут Дальний Восток, Китай и другие страны Юго-Восточной Азии. В составе комплекса предусматривается строительство тепловой электрической станции установленной электрической мощностью 632 МВт, установленной тепловой мощностью 1166 Гкал. Основное назначение ТЭС – обеспечение комплекса ВНХК необходимыми энергоресурсами  в виде электроэнергии, тепловой энергии (пар, горячая вода) и деминерализованной воде. Помимо обеспечения энергоресурсами нефтеперерабатывающего производства от ТЭС ВНХК планируется выдача в энергосистему Приморского края до 200 МВт электрической мощности и теплоснабжение близлежащих населенных пунктов (поселки Береговой и Первостроителей) с перспективным теплопотреблением до 42 Гкал.</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4B48BD" w:rsidRPr="006C1EFE" w:rsidRDefault="004B48BD" w:rsidP="009D4B9E">
            <w:pPr>
              <w:snapToGrid w:val="0"/>
              <w:spacing w:before="60" w:after="60"/>
              <w:ind w:firstLine="59"/>
              <w:rPr>
                <w:color w:val="000000" w:themeColor="text1"/>
                <w:sz w:val="22"/>
                <w:szCs w:val="22"/>
              </w:rPr>
            </w:pPr>
            <w:r w:rsidRPr="006C1EFE">
              <w:rPr>
                <w:color w:val="000000" w:themeColor="text1"/>
                <w:sz w:val="22"/>
                <w:szCs w:val="22"/>
              </w:rPr>
              <w:lastRenderedPageBreak/>
              <w:t>С началом  нефтепереработки увеличатся объемы промышленного производства по Находкинскому городскому округу и в целом по Приморскому краю. В округ будут привлечены квалифицированные кадры из других регионов России. Новые рабочие места будут созданы в обслуживающих и сопутствующих производствах.</w:t>
            </w:r>
          </w:p>
          <w:p w:rsidR="004B48BD" w:rsidRPr="006C1EFE" w:rsidRDefault="004B48BD" w:rsidP="009D4B9E">
            <w:pPr>
              <w:snapToGrid w:val="0"/>
              <w:spacing w:before="60" w:after="60"/>
              <w:rPr>
                <w:color w:val="000000" w:themeColor="text1"/>
                <w:sz w:val="22"/>
                <w:szCs w:val="22"/>
              </w:rPr>
            </w:pPr>
          </w:p>
        </w:tc>
      </w:tr>
      <w:tr w:rsidR="004B48BD" w:rsidRPr="006C1EFE" w:rsidTr="009D4B9E">
        <w:trPr>
          <w:trHeight w:val="851"/>
        </w:trPr>
        <w:tc>
          <w:tcPr>
            <w:tcW w:w="3124"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pStyle w:val="3"/>
              <w:tabs>
                <w:tab w:val="left" w:pos="0"/>
              </w:tabs>
              <w:spacing w:before="60"/>
              <w:ind w:left="68" w:hanging="34"/>
              <w:rPr>
                <w:bCs/>
                <w:sz w:val="22"/>
                <w:szCs w:val="22"/>
              </w:rPr>
            </w:pPr>
            <w:r w:rsidRPr="006C1EFE">
              <w:rPr>
                <w:sz w:val="22"/>
                <w:szCs w:val="22"/>
              </w:rPr>
              <w:lastRenderedPageBreak/>
              <w:t>Реконструкция и  развитие производственных мощностей ООО «РН-Находканефтепродукт»</w:t>
            </w:r>
          </w:p>
        </w:tc>
        <w:tc>
          <w:tcPr>
            <w:tcW w:w="1452"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hd w:val="clear" w:color="auto" w:fill="FFFFFF"/>
              <w:snapToGrid w:val="0"/>
              <w:spacing w:before="60" w:after="60"/>
              <w:ind w:right="396" w:firstLine="7"/>
              <w:rPr>
                <w:bCs/>
                <w:spacing w:val="-2"/>
                <w:sz w:val="22"/>
                <w:szCs w:val="22"/>
              </w:rPr>
            </w:pPr>
            <w:r w:rsidRPr="006C1EFE">
              <w:rPr>
                <w:bCs/>
                <w:spacing w:val="-2"/>
                <w:sz w:val="22"/>
                <w:szCs w:val="22"/>
              </w:rPr>
              <w:t>2013-2016</w:t>
            </w:r>
            <w:r w:rsidRPr="006C1EFE">
              <w:rPr>
                <w:sz w:val="22"/>
                <w:szCs w:val="22"/>
              </w:rPr>
              <w:t xml:space="preserve"> годы</w:t>
            </w:r>
          </w:p>
        </w:tc>
        <w:tc>
          <w:tcPr>
            <w:tcW w:w="5103"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hd w:val="clear" w:color="auto" w:fill="FFFFFF"/>
              <w:snapToGrid w:val="0"/>
              <w:spacing w:before="60" w:after="60" w:line="281" w:lineRule="exact"/>
              <w:ind w:right="43"/>
              <w:rPr>
                <w:bCs/>
                <w:spacing w:val="-2"/>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4B48BD" w:rsidRPr="006C1EFE" w:rsidRDefault="004B48BD" w:rsidP="009D4B9E">
            <w:pPr>
              <w:pStyle w:val="ac"/>
              <w:tabs>
                <w:tab w:val="left" w:pos="0"/>
              </w:tabs>
              <w:ind w:left="0"/>
              <w:jc w:val="both"/>
              <w:rPr>
                <w:rFonts w:eastAsiaTheme="minorEastAsia"/>
                <w:bCs/>
                <w:spacing w:val="-1"/>
                <w:sz w:val="22"/>
                <w:szCs w:val="22"/>
              </w:rPr>
            </w:pPr>
            <w:r w:rsidRPr="006C1EFE">
              <w:rPr>
                <w:rFonts w:eastAsiaTheme="minorEastAsia"/>
                <w:sz w:val="22"/>
                <w:szCs w:val="22"/>
              </w:rPr>
              <w:t>Будет выполнена «Программа по модернизации объектов ООО «РН-Находканефтепродукт» до требований нормативного законодательства в области экологической и промышленной безопасности», мощность терминала увеличится до перевалки 8 млн. тонн нефтепродуктов в год.</w:t>
            </w:r>
          </w:p>
        </w:tc>
      </w:tr>
      <w:tr w:rsidR="004B48BD" w:rsidRPr="006C1EFE" w:rsidTr="009D4B9E">
        <w:trPr>
          <w:trHeight w:hRule="exact" w:val="454"/>
        </w:trPr>
        <w:tc>
          <w:tcPr>
            <w:tcW w:w="15066" w:type="dxa"/>
            <w:gridSpan w:val="4"/>
            <w:tcBorders>
              <w:top w:val="single" w:sz="4" w:space="0" w:color="auto"/>
              <w:left w:val="single" w:sz="4" w:space="0" w:color="auto"/>
              <w:bottom w:val="single" w:sz="4" w:space="0" w:color="auto"/>
              <w:right w:val="single" w:sz="4" w:space="0" w:color="auto"/>
            </w:tcBorders>
            <w:shd w:val="clear" w:color="auto" w:fill="FFFFFF"/>
          </w:tcPr>
          <w:p w:rsidR="004B48BD" w:rsidRPr="006C1EFE" w:rsidRDefault="004B48BD" w:rsidP="009D4B9E">
            <w:pPr>
              <w:shd w:val="clear" w:color="auto" w:fill="FFFFFF"/>
              <w:snapToGrid w:val="0"/>
              <w:spacing w:before="29" w:after="281"/>
              <w:ind w:left="7"/>
              <w:rPr>
                <w:bCs/>
                <w:sz w:val="22"/>
                <w:szCs w:val="22"/>
              </w:rPr>
            </w:pPr>
            <w:r w:rsidRPr="006C1EFE">
              <w:rPr>
                <w:bCs/>
                <w:sz w:val="22"/>
                <w:szCs w:val="22"/>
              </w:rPr>
              <w:t>Раздел 2. Строительство объектов инженерной  инфраструктуры</w:t>
            </w:r>
          </w:p>
        </w:tc>
      </w:tr>
      <w:tr w:rsidR="004B48BD" w:rsidRPr="006C1EFE" w:rsidTr="009D4B9E">
        <w:trPr>
          <w:trHeight w:val="851"/>
        </w:trPr>
        <w:tc>
          <w:tcPr>
            <w:tcW w:w="3124" w:type="dxa"/>
            <w:tcBorders>
              <w:top w:val="single" w:sz="4" w:space="0" w:color="auto"/>
              <w:left w:val="single" w:sz="4" w:space="0" w:color="000000"/>
              <w:bottom w:val="single" w:sz="4" w:space="0" w:color="000000"/>
            </w:tcBorders>
            <w:shd w:val="clear" w:color="auto" w:fill="FFFFFF"/>
          </w:tcPr>
          <w:p w:rsidR="004B48BD" w:rsidRPr="006C1EFE" w:rsidRDefault="004B48BD" w:rsidP="009D4B9E">
            <w:pPr>
              <w:snapToGrid w:val="0"/>
              <w:spacing w:before="60" w:after="60"/>
              <w:rPr>
                <w:color w:val="000000" w:themeColor="text1"/>
                <w:sz w:val="22"/>
                <w:szCs w:val="22"/>
              </w:rPr>
            </w:pPr>
            <w:r w:rsidRPr="006C1EFE">
              <w:rPr>
                <w:color w:val="000000" w:themeColor="text1"/>
                <w:sz w:val="22"/>
                <w:szCs w:val="22"/>
              </w:rPr>
              <w:t xml:space="preserve">Строительство магистральных газопроводов от основной ветки Сахалин-Хабаровск-Владивосток до </w:t>
            </w:r>
            <w:r w:rsidRPr="006C1EFE">
              <w:rPr>
                <w:color w:val="000000" w:themeColor="text1"/>
                <w:sz w:val="22"/>
                <w:szCs w:val="22"/>
              </w:rPr>
              <w:lastRenderedPageBreak/>
              <w:t>газораспределительных станций (ГРС) в микрорайоне Врангель и городе Находке.</w:t>
            </w:r>
          </w:p>
        </w:tc>
        <w:tc>
          <w:tcPr>
            <w:tcW w:w="1452" w:type="dxa"/>
            <w:tcBorders>
              <w:top w:val="single" w:sz="4" w:space="0" w:color="auto"/>
              <w:left w:val="single" w:sz="4" w:space="0" w:color="000000"/>
              <w:bottom w:val="single" w:sz="4" w:space="0" w:color="000000"/>
            </w:tcBorders>
            <w:shd w:val="clear" w:color="auto" w:fill="FFFFFF"/>
          </w:tcPr>
          <w:p w:rsidR="004B48BD" w:rsidRPr="006C1EFE" w:rsidRDefault="004B48BD" w:rsidP="009D4B9E">
            <w:pPr>
              <w:snapToGrid w:val="0"/>
              <w:spacing w:before="60" w:after="60"/>
              <w:rPr>
                <w:color w:val="000000" w:themeColor="text1"/>
                <w:sz w:val="22"/>
                <w:szCs w:val="22"/>
              </w:rPr>
            </w:pPr>
            <w:r w:rsidRPr="006C1EFE">
              <w:rPr>
                <w:color w:val="000000" w:themeColor="text1"/>
                <w:sz w:val="22"/>
                <w:szCs w:val="22"/>
              </w:rPr>
              <w:lastRenderedPageBreak/>
              <w:t>2013-2015 годы</w:t>
            </w:r>
          </w:p>
        </w:tc>
        <w:tc>
          <w:tcPr>
            <w:tcW w:w="5103" w:type="dxa"/>
            <w:tcBorders>
              <w:top w:val="single" w:sz="4" w:space="0" w:color="auto"/>
              <w:left w:val="single" w:sz="4" w:space="0" w:color="000000"/>
              <w:bottom w:val="single" w:sz="4" w:space="0" w:color="000000"/>
            </w:tcBorders>
            <w:shd w:val="clear" w:color="auto" w:fill="FFFFFF"/>
          </w:tcPr>
          <w:p w:rsidR="004B48BD" w:rsidRPr="006C1EFE" w:rsidRDefault="004B48BD" w:rsidP="009D4B9E">
            <w:pPr>
              <w:snapToGrid w:val="0"/>
              <w:spacing w:before="60" w:after="60"/>
              <w:rPr>
                <w:sz w:val="22"/>
                <w:szCs w:val="22"/>
              </w:rPr>
            </w:pPr>
            <w:r w:rsidRPr="006C1EFE">
              <w:rPr>
                <w:sz w:val="22"/>
                <w:szCs w:val="22"/>
              </w:rPr>
              <w:t>Организатор проекта – ОАО «Газпром».</w:t>
            </w:r>
          </w:p>
          <w:p w:rsidR="004B48BD" w:rsidRPr="006C1EFE" w:rsidRDefault="004B48BD" w:rsidP="009D4B9E">
            <w:pPr>
              <w:snapToGrid w:val="0"/>
              <w:spacing w:before="60" w:after="60"/>
              <w:rPr>
                <w:sz w:val="22"/>
                <w:szCs w:val="22"/>
              </w:rPr>
            </w:pPr>
            <w:r w:rsidRPr="006C1EFE">
              <w:rPr>
                <w:sz w:val="22"/>
                <w:szCs w:val="22"/>
              </w:rPr>
              <w:t>Стоимость проекта – 601,1 млн. руб.</w:t>
            </w:r>
          </w:p>
          <w:p w:rsidR="004B48BD" w:rsidRPr="006C1EFE" w:rsidRDefault="004B48BD" w:rsidP="009D4B9E">
            <w:pPr>
              <w:snapToGrid w:val="0"/>
              <w:spacing w:before="60" w:after="60"/>
              <w:rPr>
                <w:sz w:val="22"/>
                <w:szCs w:val="22"/>
              </w:rPr>
            </w:pPr>
          </w:p>
        </w:tc>
        <w:tc>
          <w:tcPr>
            <w:tcW w:w="5387" w:type="dxa"/>
            <w:tcBorders>
              <w:top w:val="single" w:sz="4" w:space="0" w:color="auto"/>
              <w:left w:val="single" w:sz="4" w:space="0" w:color="000000"/>
              <w:bottom w:val="single" w:sz="4" w:space="0" w:color="000000"/>
              <w:right w:val="single" w:sz="4" w:space="0" w:color="000000"/>
            </w:tcBorders>
            <w:shd w:val="clear" w:color="auto" w:fill="FFFFFF"/>
          </w:tcPr>
          <w:p w:rsidR="004B48BD" w:rsidRPr="006C1EFE" w:rsidRDefault="004B48BD" w:rsidP="009D4B9E">
            <w:pPr>
              <w:snapToGrid w:val="0"/>
              <w:spacing w:before="60" w:after="60"/>
              <w:rPr>
                <w:color w:val="000000" w:themeColor="text1"/>
                <w:sz w:val="22"/>
                <w:szCs w:val="22"/>
              </w:rPr>
            </w:pPr>
            <w:r w:rsidRPr="006C1EFE">
              <w:rPr>
                <w:color w:val="000000" w:themeColor="text1"/>
                <w:sz w:val="22"/>
                <w:szCs w:val="22"/>
              </w:rPr>
              <w:t>Газификация позволит перевести часть котельных Находкинского городского округа на газ.</w:t>
            </w:r>
          </w:p>
          <w:p w:rsidR="004B48BD" w:rsidRPr="006C1EFE" w:rsidRDefault="004B48BD" w:rsidP="009D4B9E">
            <w:pPr>
              <w:snapToGrid w:val="0"/>
              <w:spacing w:before="60" w:after="60"/>
              <w:rPr>
                <w:color w:val="000000" w:themeColor="text1"/>
                <w:sz w:val="22"/>
                <w:szCs w:val="22"/>
              </w:rPr>
            </w:pPr>
          </w:p>
        </w:tc>
      </w:tr>
      <w:tr w:rsidR="004B48BD" w:rsidRPr="006C1EFE" w:rsidTr="009D4B9E">
        <w:trPr>
          <w:trHeight w:hRule="exact" w:val="454"/>
        </w:trPr>
        <w:tc>
          <w:tcPr>
            <w:tcW w:w="15066" w:type="dxa"/>
            <w:gridSpan w:val="4"/>
            <w:tcBorders>
              <w:top w:val="single" w:sz="4" w:space="0" w:color="auto"/>
              <w:left w:val="single" w:sz="4" w:space="0" w:color="auto"/>
              <w:bottom w:val="single" w:sz="4" w:space="0" w:color="auto"/>
              <w:right w:val="single" w:sz="4" w:space="0" w:color="auto"/>
            </w:tcBorders>
            <w:shd w:val="clear" w:color="auto" w:fill="FFFFFF"/>
          </w:tcPr>
          <w:p w:rsidR="004B48BD" w:rsidRPr="006C1EFE" w:rsidRDefault="004B48BD" w:rsidP="009D4B9E">
            <w:pPr>
              <w:shd w:val="clear" w:color="auto" w:fill="FFFFFF"/>
              <w:snapToGrid w:val="0"/>
              <w:spacing w:before="29" w:after="281"/>
              <w:ind w:left="7"/>
              <w:rPr>
                <w:sz w:val="22"/>
                <w:szCs w:val="22"/>
              </w:rPr>
            </w:pPr>
            <w:r w:rsidRPr="006C1EFE">
              <w:rPr>
                <w:bCs/>
                <w:sz w:val="22"/>
                <w:szCs w:val="22"/>
              </w:rPr>
              <w:lastRenderedPageBreak/>
              <w:t>Раздел 3. Развитие социальной инфраструктуры</w:t>
            </w:r>
          </w:p>
        </w:tc>
      </w:tr>
      <w:tr w:rsidR="004B48BD" w:rsidRPr="006C1EFE" w:rsidTr="009D4B9E">
        <w:trPr>
          <w:trHeight w:val="340"/>
        </w:trPr>
        <w:tc>
          <w:tcPr>
            <w:tcW w:w="15066" w:type="dxa"/>
            <w:gridSpan w:val="4"/>
            <w:tcBorders>
              <w:top w:val="single" w:sz="4" w:space="0" w:color="000000"/>
              <w:left w:val="single" w:sz="4" w:space="0" w:color="000000"/>
              <w:bottom w:val="single" w:sz="4" w:space="0" w:color="000000"/>
              <w:right w:val="single" w:sz="4" w:space="0" w:color="000000"/>
            </w:tcBorders>
            <w:shd w:val="clear" w:color="auto" w:fill="FFFFFF"/>
          </w:tcPr>
          <w:p w:rsidR="004B48BD" w:rsidRPr="006C1EFE" w:rsidRDefault="004B48BD" w:rsidP="009D4B9E">
            <w:pPr>
              <w:snapToGrid w:val="0"/>
              <w:spacing w:before="60" w:after="60"/>
              <w:rPr>
                <w:sz w:val="22"/>
                <w:szCs w:val="22"/>
              </w:rPr>
            </w:pPr>
            <w:r w:rsidRPr="006C1EFE">
              <w:rPr>
                <w:sz w:val="22"/>
                <w:szCs w:val="22"/>
              </w:rPr>
              <w:t>Жилищное строительство</w:t>
            </w:r>
          </w:p>
        </w:tc>
      </w:tr>
      <w:tr w:rsidR="004B48BD" w:rsidRPr="006C1EFE" w:rsidTr="009D4B9E">
        <w:trPr>
          <w:trHeight w:val="851"/>
        </w:trPr>
        <w:tc>
          <w:tcPr>
            <w:tcW w:w="3124"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napToGrid w:val="0"/>
              <w:spacing w:before="60" w:after="60"/>
              <w:rPr>
                <w:color w:val="000000" w:themeColor="text1"/>
                <w:sz w:val="22"/>
                <w:szCs w:val="22"/>
              </w:rPr>
            </w:pPr>
            <w:r w:rsidRPr="006C1EFE">
              <w:rPr>
                <w:color w:val="000000" w:themeColor="text1"/>
                <w:sz w:val="22"/>
                <w:szCs w:val="22"/>
              </w:rPr>
              <w:t xml:space="preserve">Привлечение частных инвесторов для  строительства  жилья. </w:t>
            </w:r>
          </w:p>
        </w:tc>
        <w:tc>
          <w:tcPr>
            <w:tcW w:w="1452"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napToGrid w:val="0"/>
              <w:spacing w:before="60" w:after="60"/>
              <w:ind w:hanging="5"/>
              <w:rPr>
                <w:color w:val="000000" w:themeColor="text1"/>
                <w:sz w:val="22"/>
                <w:szCs w:val="22"/>
              </w:rPr>
            </w:pPr>
            <w:r w:rsidRPr="006C1EFE">
              <w:rPr>
                <w:color w:val="000000" w:themeColor="text1"/>
                <w:sz w:val="22"/>
                <w:szCs w:val="22"/>
              </w:rPr>
              <w:t>2013-2017 годы</w:t>
            </w:r>
          </w:p>
          <w:p w:rsidR="004B48BD" w:rsidRPr="006C1EFE" w:rsidRDefault="004B48BD" w:rsidP="009D4B9E">
            <w:pPr>
              <w:snapToGrid w:val="0"/>
              <w:spacing w:before="60" w:after="60"/>
              <w:rPr>
                <w:color w:val="000000" w:themeColor="text1"/>
                <w:sz w:val="22"/>
                <w:szCs w:val="22"/>
              </w:rPr>
            </w:pPr>
          </w:p>
        </w:tc>
        <w:tc>
          <w:tcPr>
            <w:tcW w:w="5103" w:type="dxa"/>
            <w:tcBorders>
              <w:top w:val="single" w:sz="4" w:space="0" w:color="000000"/>
              <w:left w:val="single" w:sz="4" w:space="0" w:color="000000"/>
              <w:bottom w:val="single" w:sz="4" w:space="0" w:color="000000"/>
            </w:tcBorders>
            <w:shd w:val="clear" w:color="auto" w:fill="FFFFFF"/>
            <w:vAlign w:val="bottom"/>
          </w:tcPr>
          <w:p w:rsidR="004B48BD" w:rsidRPr="006C1EFE" w:rsidRDefault="004B48BD" w:rsidP="009D4B9E">
            <w:pPr>
              <w:snapToGrid w:val="0"/>
              <w:spacing w:before="60" w:after="60"/>
              <w:rPr>
                <w:sz w:val="22"/>
                <w:szCs w:val="22"/>
              </w:rPr>
            </w:pPr>
            <w:r w:rsidRPr="006C1EFE">
              <w:rPr>
                <w:sz w:val="22"/>
                <w:szCs w:val="22"/>
              </w:rPr>
              <w:t xml:space="preserve">Планируется дальнейшее привлечение частного капитала в жилищное строительство. Выполняются проекты планировки перспективных участков застройки в целях дальнейшей передачи застройщикам. Предполагается не снижать темпы сдачи в эксплуатацию жилых многоквартирных домов  ниже существующего уровня. В период до конца 2017 года четырнадцать застройщиков планируют ввести 242,2 тыс. кв. м жилья (45 жилых  домов). </w:t>
            </w:r>
          </w:p>
          <w:p w:rsidR="004B48BD" w:rsidRPr="006C1EFE" w:rsidRDefault="004B48BD" w:rsidP="009D4B9E">
            <w:pPr>
              <w:snapToGrid w:val="0"/>
              <w:spacing w:before="60" w:after="60"/>
              <w:rPr>
                <w:sz w:val="22"/>
                <w:szCs w:val="22"/>
              </w:rPr>
            </w:pPr>
            <w:r w:rsidRPr="006C1EFE">
              <w:rPr>
                <w:sz w:val="22"/>
                <w:szCs w:val="22"/>
              </w:rPr>
              <w:t>В районах массовой малоэтажной застройки проводятся работы по формированию земельных участков под строительство:</w:t>
            </w:r>
          </w:p>
          <w:p w:rsidR="004B48BD" w:rsidRPr="006C1EFE" w:rsidRDefault="004B48BD" w:rsidP="009D4B9E">
            <w:pPr>
              <w:snapToGrid w:val="0"/>
              <w:spacing w:before="60" w:after="60"/>
              <w:rPr>
                <w:sz w:val="22"/>
                <w:szCs w:val="22"/>
              </w:rPr>
            </w:pPr>
            <w:r w:rsidRPr="006C1EFE">
              <w:rPr>
                <w:sz w:val="22"/>
                <w:szCs w:val="22"/>
              </w:rPr>
              <w:t>В г.Находка вдоль объездной автодороги от озера Приморского до ул.Макарова площадью 300 га, в том числе для многодетных семей – 70 га,</w:t>
            </w:r>
          </w:p>
          <w:p w:rsidR="004B48BD" w:rsidRPr="006C1EFE" w:rsidRDefault="004B48BD" w:rsidP="009D4B9E">
            <w:pPr>
              <w:snapToGrid w:val="0"/>
              <w:spacing w:before="60" w:after="60"/>
              <w:rPr>
                <w:sz w:val="22"/>
                <w:szCs w:val="22"/>
              </w:rPr>
            </w:pPr>
            <w:r w:rsidRPr="006C1EFE">
              <w:rPr>
                <w:sz w:val="22"/>
                <w:szCs w:val="22"/>
              </w:rPr>
              <w:t>в районе озера Лебяжье 140 га (300 участков),</w:t>
            </w:r>
          </w:p>
          <w:p w:rsidR="004B48BD" w:rsidRPr="006C1EFE" w:rsidRDefault="004B48BD" w:rsidP="009D4B9E">
            <w:pPr>
              <w:snapToGrid w:val="0"/>
              <w:spacing w:before="60" w:after="60"/>
              <w:rPr>
                <w:sz w:val="22"/>
                <w:szCs w:val="22"/>
              </w:rPr>
            </w:pPr>
            <w:r w:rsidRPr="006C1EFE">
              <w:rPr>
                <w:sz w:val="22"/>
                <w:szCs w:val="22"/>
              </w:rPr>
              <w:t>В микрорайоне «поселок Врангель» предполагается массовая малоэтажная застройка на территории 100 га вдоль новой обходной магистрали, для многодетных семей в районе садоводческого товарищества «Гигиенист» - 100 га.</w:t>
            </w:r>
          </w:p>
          <w:p w:rsidR="004B48BD" w:rsidRPr="006C1EFE" w:rsidRDefault="004B48BD" w:rsidP="009D4B9E">
            <w:pPr>
              <w:snapToGrid w:val="0"/>
              <w:spacing w:before="60" w:after="60"/>
              <w:ind w:hanging="40"/>
              <w:rPr>
                <w:sz w:val="22"/>
                <w:szCs w:val="22"/>
              </w:rPr>
            </w:pPr>
            <w:r w:rsidRPr="006C1EFE">
              <w:rPr>
                <w:sz w:val="22"/>
                <w:szCs w:val="22"/>
              </w:rPr>
              <w:t>Микрорайон «Озеро Солёное»</w:t>
            </w:r>
          </w:p>
          <w:p w:rsidR="004B48BD" w:rsidRPr="006C1EFE" w:rsidRDefault="004B48BD" w:rsidP="009D4B9E">
            <w:pPr>
              <w:snapToGrid w:val="0"/>
              <w:spacing w:before="60" w:after="60"/>
              <w:rPr>
                <w:sz w:val="22"/>
                <w:szCs w:val="22"/>
              </w:rPr>
            </w:pPr>
            <w:r w:rsidRPr="006C1EFE">
              <w:rPr>
                <w:sz w:val="22"/>
                <w:szCs w:val="22"/>
              </w:rPr>
              <w:t xml:space="preserve">Проектируемый микрорайон на 10 тысяч жителей, </w:t>
            </w:r>
            <w:r w:rsidRPr="006C1EFE">
              <w:rPr>
                <w:sz w:val="22"/>
                <w:szCs w:val="22"/>
              </w:rPr>
              <w:lastRenderedPageBreak/>
              <w:t>формируется многоэтажными секционными домами. Предполагается долевое участие муниципалитета и инвесторов. Ориентировочная стоимость возводимого жилья на территории данного объекта – 10 млрд. рублей.</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4B48BD" w:rsidRPr="006C1EFE" w:rsidRDefault="004B48BD" w:rsidP="009D4B9E">
            <w:pPr>
              <w:snapToGrid w:val="0"/>
              <w:spacing w:before="60" w:after="60"/>
              <w:ind w:firstLine="59"/>
              <w:rPr>
                <w:color w:val="000000" w:themeColor="text1"/>
                <w:sz w:val="22"/>
                <w:szCs w:val="22"/>
              </w:rPr>
            </w:pPr>
            <w:r w:rsidRPr="006C1EFE">
              <w:rPr>
                <w:color w:val="000000" w:themeColor="text1"/>
                <w:sz w:val="22"/>
                <w:szCs w:val="22"/>
              </w:rPr>
              <w:lastRenderedPageBreak/>
              <w:t>Решение жилищной проблемы для жителей округа, стимулирование строительной отрасли, стимулирование отрасли производства строительных материалов, стимулирование финансовых организаций, предлагающих ипотечные кредиты.</w:t>
            </w:r>
          </w:p>
        </w:tc>
      </w:tr>
      <w:tr w:rsidR="004B48BD" w:rsidRPr="006C1EFE" w:rsidTr="009D4B9E">
        <w:trPr>
          <w:trHeight w:val="293"/>
        </w:trPr>
        <w:tc>
          <w:tcPr>
            <w:tcW w:w="15066" w:type="dxa"/>
            <w:gridSpan w:val="4"/>
            <w:tcBorders>
              <w:top w:val="single" w:sz="4" w:space="0" w:color="000000"/>
              <w:left w:val="single" w:sz="4" w:space="0" w:color="000000"/>
              <w:bottom w:val="single" w:sz="4" w:space="0" w:color="000000"/>
              <w:right w:val="single" w:sz="4" w:space="0" w:color="000000"/>
            </w:tcBorders>
            <w:shd w:val="clear" w:color="auto" w:fill="FFFFFF"/>
          </w:tcPr>
          <w:p w:rsidR="004B48BD" w:rsidRPr="006C1EFE" w:rsidRDefault="004B48BD" w:rsidP="009D4B9E">
            <w:pPr>
              <w:snapToGrid w:val="0"/>
              <w:spacing w:before="60" w:after="60"/>
              <w:rPr>
                <w:sz w:val="22"/>
                <w:szCs w:val="22"/>
              </w:rPr>
            </w:pPr>
            <w:r w:rsidRPr="006C1EFE">
              <w:rPr>
                <w:sz w:val="22"/>
                <w:szCs w:val="22"/>
              </w:rPr>
              <w:lastRenderedPageBreak/>
              <w:t>Замена ветхого жилого фонда</w:t>
            </w:r>
          </w:p>
        </w:tc>
      </w:tr>
      <w:tr w:rsidR="004B48BD" w:rsidRPr="006C1EFE" w:rsidTr="009D4B9E">
        <w:trPr>
          <w:trHeight w:val="851"/>
        </w:trPr>
        <w:tc>
          <w:tcPr>
            <w:tcW w:w="3124"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napToGrid w:val="0"/>
              <w:spacing w:before="60" w:after="60"/>
              <w:rPr>
                <w:color w:val="000000" w:themeColor="text1"/>
                <w:sz w:val="22"/>
                <w:szCs w:val="22"/>
              </w:rPr>
            </w:pPr>
            <w:r w:rsidRPr="006C1EFE">
              <w:rPr>
                <w:color w:val="000000" w:themeColor="text1"/>
                <w:sz w:val="22"/>
                <w:szCs w:val="22"/>
              </w:rPr>
              <w:t xml:space="preserve">Замена группы ветхих жилых домов </w:t>
            </w:r>
          </w:p>
          <w:p w:rsidR="004B48BD" w:rsidRPr="006C1EFE" w:rsidRDefault="004B48BD" w:rsidP="009D4B9E">
            <w:pPr>
              <w:snapToGrid w:val="0"/>
              <w:spacing w:before="60" w:after="60"/>
              <w:rPr>
                <w:color w:val="000000" w:themeColor="text1"/>
                <w:sz w:val="22"/>
                <w:szCs w:val="22"/>
              </w:rPr>
            </w:pPr>
            <w:r w:rsidRPr="006C1EFE">
              <w:rPr>
                <w:color w:val="000000" w:themeColor="text1"/>
                <w:sz w:val="22"/>
                <w:szCs w:val="22"/>
              </w:rPr>
              <w:t>- в районе ул. Дзержинского</w:t>
            </w:r>
          </w:p>
          <w:p w:rsidR="004B48BD" w:rsidRPr="006C1EFE" w:rsidRDefault="004B48BD" w:rsidP="009D4B9E">
            <w:pPr>
              <w:snapToGrid w:val="0"/>
              <w:spacing w:before="60" w:after="60"/>
              <w:rPr>
                <w:color w:val="000000" w:themeColor="text1"/>
                <w:sz w:val="22"/>
                <w:szCs w:val="22"/>
              </w:rPr>
            </w:pPr>
          </w:p>
          <w:p w:rsidR="004B48BD" w:rsidRPr="006C1EFE" w:rsidRDefault="004B48BD" w:rsidP="009D4B9E">
            <w:pPr>
              <w:snapToGrid w:val="0"/>
              <w:spacing w:before="60" w:after="60"/>
              <w:rPr>
                <w:color w:val="000000" w:themeColor="text1"/>
                <w:sz w:val="22"/>
                <w:szCs w:val="22"/>
              </w:rPr>
            </w:pPr>
          </w:p>
          <w:p w:rsidR="004B48BD" w:rsidRPr="006C1EFE" w:rsidRDefault="004B48BD" w:rsidP="009D4B9E">
            <w:pPr>
              <w:snapToGrid w:val="0"/>
              <w:spacing w:before="60" w:after="60"/>
              <w:rPr>
                <w:color w:val="000000" w:themeColor="text1"/>
                <w:sz w:val="22"/>
                <w:szCs w:val="22"/>
              </w:rPr>
            </w:pPr>
            <w:r w:rsidRPr="006C1EFE">
              <w:rPr>
                <w:color w:val="000000" w:themeColor="text1"/>
                <w:sz w:val="22"/>
                <w:szCs w:val="22"/>
              </w:rPr>
              <w:t>- в районе ул. Чернышевского</w:t>
            </w:r>
          </w:p>
          <w:p w:rsidR="004B48BD" w:rsidRPr="006C1EFE" w:rsidRDefault="004B48BD" w:rsidP="009D4B9E">
            <w:pPr>
              <w:snapToGrid w:val="0"/>
              <w:spacing w:before="60" w:after="60"/>
              <w:rPr>
                <w:color w:val="000000" w:themeColor="text1"/>
                <w:sz w:val="22"/>
                <w:szCs w:val="22"/>
              </w:rPr>
            </w:pPr>
          </w:p>
          <w:p w:rsidR="004B48BD" w:rsidRPr="006C1EFE" w:rsidRDefault="004B48BD" w:rsidP="009D4B9E">
            <w:pPr>
              <w:snapToGrid w:val="0"/>
              <w:spacing w:before="60" w:after="60"/>
              <w:rPr>
                <w:color w:val="000000" w:themeColor="text1"/>
                <w:sz w:val="22"/>
                <w:szCs w:val="22"/>
              </w:rPr>
            </w:pPr>
          </w:p>
          <w:p w:rsidR="004B48BD" w:rsidRPr="006C1EFE" w:rsidRDefault="004B48BD" w:rsidP="009D4B9E">
            <w:pPr>
              <w:snapToGrid w:val="0"/>
              <w:spacing w:before="60" w:after="60"/>
              <w:rPr>
                <w:color w:val="000000" w:themeColor="text1"/>
                <w:sz w:val="22"/>
                <w:szCs w:val="22"/>
              </w:rPr>
            </w:pPr>
          </w:p>
          <w:p w:rsidR="004B48BD" w:rsidRPr="006C1EFE" w:rsidRDefault="004B48BD" w:rsidP="009D4B9E">
            <w:pPr>
              <w:snapToGrid w:val="0"/>
              <w:spacing w:before="60" w:after="60"/>
              <w:rPr>
                <w:color w:val="000000" w:themeColor="text1"/>
                <w:sz w:val="22"/>
                <w:szCs w:val="22"/>
              </w:rPr>
            </w:pPr>
          </w:p>
          <w:p w:rsidR="004B48BD" w:rsidRPr="006C1EFE" w:rsidRDefault="004B48BD" w:rsidP="009D4B9E">
            <w:pPr>
              <w:snapToGrid w:val="0"/>
              <w:spacing w:before="60" w:after="60"/>
              <w:rPr>
                <w:color w:val="000000" w:themeColor="text1"/>
                <w:sz w:val="22"/>
                <w:szCs w:val="22"/>
              </w:rPr>
            </w:pPr>
          </w:p>
          <w:p w:rsidR="004B48BD" w:rsidRPr="006C1EFE" w:rsidRDefault="004B48BD" w:rsidP="009D4B9E">
            <w:pPr>
              <w:snapToGrid w:val="0"/>
              <w:spacing w:before="60" w:after="60"/>
              <w:rPr>
                <w:color w:val="000000" w:themeColor="text1"/>
                <w:sz w:val="22"/>
                <w:szCs w:val="22"/>
              </w:rPr>
            </w:pPr>
            <w:r w:rsidRPr="006C1EFE">
              <w:rPr>
                <w:color w:val="000000" w:themeColor="text1"/>
                <w:sz w:val="22"/>
                <w:szCs w:val="22"/>
              </w:rPr>
              <w:t>- в районе ул. Дальняя</w:t>
            </w:r>
          </w:p>
        </w:tc>
        <w:tc>
          <w:tcPr>
            <w:tcW w:w="1452"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napToGrid w:val="0"/>
              <w:spacing w:before="60" w:after="60"/>
              <w:ind w:hanging="5"/>
              <w:rPr>
                <w:color w:val="000000" w:themeColor="text1"/>
                <w:sz w:val="22"/>
                <w:szCs w:val="22"/>
              </w:rPr>
            </w:pPr>
            <w:r w:rsidRPr="006C1EFE">
              <w:rPr>
                <w:color w:val="000000" w:themeColor="text1"/>
                <w:sz w:val="22"/>
                <w:szCs w:val="22"/>
              </w:rPr>
              <w:t>2013-2017 годы</w:t>
            </w:r>
          </w:p>
        </w:tc>
        <w:tc>
          <w:tcPr>
            <w:tcW w:w="5103"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napToGrid w:val="0"/>
              <w:spacing w:before="60" w:after="60"/>
              <w:rPr>
                <w:sz w:val="22"/>
                <w:szCs w:val="22"/>
              </w:rPr>
            </w:pPr>
            <w:r w:rsidRPr="006C1EFE">
              <w:rPr>
                <w:sz w:val="22"/>
                <w:szCs w:val="22"/>
              </w:rPr>
              <w:t>Предлагается снос четырёх двухэтажных деревянных домов и строительство на их месте 4 многоэтажных: два дома по 16 этажей, один - 10-этажный и один 11-этажный жилой дом.</w:t>
            </w:r>
          </w:p>
          <w:p w:rsidR="004B48BD" w:rsidRPr="006C1EFE" w:rsidRDefault="004B48BD" w:rsidP="009D4B9E">
            <w:pPr>
              <w:snapToGrid w:val="0"/>
              <w:spacing w:before="60" w:after="60"/>
              <w:rPr>
                <w:sz w:val="22"/>
                <w:szCs w:val="22"/>
              </w:rPr>
            </w:pPr>
            <w:r w:rsidRPr="006C1EFE">
              <w:rPr>
                <w:sz w:val="22"/>
                <w:szCs w:val="22"/>
              </w:rPr>
              <w:t xml:space="preserve">Ориентировочная стоимость строительства нового жилья – 1 336,6 млн. рублей. </w:t>
            </w:r>
          </w:p>
          <w:p w:rsidR="004B48BD" w:rsidRPr="006C1EFE" w:rsidRDefault="004B48BD" w:rsidP="009D4B9E">
            <w:pPr>
              <w:snapToGrid w:val="0"/>
              <w:spacing w:before="60" w:after="60"/>
              <w:rPr>
                <w:sz w:val="22"/>
                <w:szCs w:val="22"/>
              </w:rPr>
            </w:pPr>
            <w:r w:rsidRPr="006C1EFE">
              <w:rPr>
                <w:sz w:val="22"/>
                <w:szCs w:val="22"/>
              </w:rPr>
              <w:t>В районе улицы Чернышевского находится более крупный массив застройки, организованный деревянными жилыми домами (21 двухэтажный дом). Проектом предлагается их снос и строительство группы многосекционных домов с центральным  16-этажным домом  и детским садом на 320 мест.</w:t>
            </w:r>
          </w:p>
          <w:p w:rsidR="004B48BD" w:rsidRPr="006C1EFE" w:rsidRDefault="004B48BD" w:rsidP="009D4B9E">
            <w:pPr>
              <w:snapToGrid w:val="0"/>
              <w:spacing w:before="60" w:after="60"/>
              <w:rPr>
                <w:sz w:val="22"/>
                <w:szCs w:val="22"/>
              </w:rPr>
            </w:pPr>
            <w:r w:rsidRPr="006C1EFE">
              <w:rPr>
                <w:sz w:val="22"/>
                <w:szCs w:val="22"/>
              </w:rPr>
              <w:t xml:space="preserve">Ориентировочная стоимость возведения нового жилья – 1 142,5 млн. рублей. </w:t>
            </w:r>
          </w:p>
          <w:p w:rsidR="004B48BD" w:rsidRPr="006C1EFE" w:rsidRDefault="004B48BD" w:rsidP="009D4B9E">
            <w:pPr>
              <w:snapToGrid w:val="0"/>
              <w:spacing w:before="60" w:after="60"/>
              <w:rPr>
                <w:sz w:val="22"/>
                <w:szCs w:val="22"/>
              </w:rPr>
            </w:pPr>
            <w:r w:rsidRPr="006C1EFE">
              <w:rPr>
                <w:sz w:val="22"/>
                <w:szCs w:val="22"/>
              </w:rPr>
              <w:t xml:space="preserve">Район сформирован 45 домами. На их месте возможно размещение группы многосекционных  домов с центральной композицией вокруг существующего ДК им. Гагарина. Ориентировочная стоимость возведения нового жилья – 3 336,5 млн. рублей. </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4B48BD" w:rsidRPr="006C1EFE" w:rsidRDefault="004B48BD" w:rsidP="009D4B9E">
            <w:pPr>
              <w:snapToGrid w:val="0"/>
              <w:spacing w:before="60" w:after="60"/>
              <w:rPr>
                <w:color w:val="000000" w:themeColor="text1"/>
                <w:sz w:val="22"/>
                <w:szCs w:val="22"/>
              </w:rPr>
            </w:pPr>
            <w:r w:rsidRPr="006C1EFE">
              <w:rPr>
                <w:color w:val="000000" w:themeColor="text1"/>
                <w:sz w:val="22"/>
                <w:szCs w:val="22"/>
              </w:rPr>
              <w:t>Решение жилищной проблемы для жителей округа, стимулирование строительной отрасли, стимулирование отрасли производства строительных материалов, стимулирование финансовых организаций, предлагающих ипотечные кредиты.</w:t>
            </w:r>
          </w:p>
        </w:tc>
      </w:tr>
      <w:tr w:rsidR="004B48BD" w:rsidRPr="006C1EFE" w:rsidTr="009D4B9E">
        <w:trPr>
          <w:trHeight w:val="851"/>
        </w:trPr>
        <w:tc>
          <w:tcPr>
            <w:tcW w:w="15066" w:type="dxa"/>
            <w:gridSpan w:val="4"/>
            <w:tcBorders>
              <w:top w:val="single" w:sz="4" w:space="0" w:color="000000"/>
              <w:left w:val="single" w:sz="4" w:space="0" w:color="000000"/>
              <w:bottom w:val="single" w:sz="4" w:space="0" w:color="000000"/>
              <w:right w:val="single" w:sz="4" w:space="0" w:color="000000"/>
            </w:tcBorders>
            <w:shd w:val="clear" w:color="auto" w:fill="FFFFFF"/>
          </w:tcPr>
          <w:p w:rsidR="004B48BD" w:rsidRPr="006C1EFE" w:rsidRDefault="004B48BD" w:rsidP="009D4B9E">
            <w:pPr>
              <w:snapToGrid w:val="0"/>
              <w:spacing w:before="60" w:after="60"/>
              <w:rPr>
                <w:color w:val="000000" w:themeColor="text1"/>
                <w:sz w:val="22"/>
                <w:szCs w:val="22"/>
              </w:rPr>
            </w:pPr>
            <w:r w:rsidRPr="006C1EFE">
              <w:rPr>
                <w:color w:val="000000" w:themeColor="text1"/>
                <w:sz w:val="22"/>
                <w:szCs w:val="22"/>
              </w:rPr>
              <w:t>Развитие торговли</w:t>
            </w:r>
          </w:p>
        </w:tc>
      </w:tr>
      <w:tr w:rsidR="004B48BD" w:rsidRPr="006C1EFE" w:rsidTr="009D4B9E">
        <w:trPr>
          <w:trHeight w:val="851"/>
        </w:trPr>
        <w:tc>
          <w:tcPr>
            <w:tcW w:w="3124"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napToGrid w:val="0"/>
              <w:spacing w:before="60" w:after="60"/>
              <w:rPr>
                <w:color w:val="000000" w:themeColor="text1"/>
                <w:sz w:val="22"/>
                <w:szCs w:val="22"/>
              </w:rPr>
            </w:pPr>
            <w:r w:rsidRPr="006C1EFE">
              <w:rPr>
                <w:color w:val="000000" w:themeColor="text1"/>
                <w:sz w:val="22"/>
                <w:szCs w:val="22"/>
              </w:rPr>
              <w:lastRenderedPageBreak/>
              <w:t>Обеспечение доступности товаров для населения, формирование конкурентной среды, поддержка местных товаропроизводителей</w:t>
            </w:r>
          </w:p>
        </w:tc>
        <w:tc>
          <w:tcPr>
            <w:tcW w:w="1452"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napToGrid w:val="0"/>
              <w:spacing w:before="60" w:after="60"/>
              <w:ind w:hanging="5"/>
              <w:rPr>
                <w:color w:val="000000" w:themeColor="text1"/>
                <w:sz w:val="22"/>
                <w:szCs w:val="22"/>
              </w:rPr>
            </w:pPr>
            <w:r w:rsidRPr="006C1EFE">
              <w:rPr>
                <w:color w:val="000000" w:themeColor="text1"/>
                <w:sz w:val="22"/>
                <w:szCs w:val="22"/>
              </w:rPr>
              <w:t>2013-2017 гг.</w:t>
            </w:r>
          </w:p>
        </w:tc>
        <w:tc>
          <w:tcPr>
            <w:tcW w:w="5103" w:type="dxa"/>
            <w:tcBorders>
              <w:top w:val="single" w:sz="4" w:space="0" w:color="000000"/>
              <w:left w:val="single" w:sz="4" w:space="0" w:color="000000"/>
              <w:bottom w:val="single" w:sz="4" w:space="0" w:color="000000"/>
            </w:tcBorders>
            <w:shd w:val="clear" w:color="auto" w:fill="FFFFFF"/>
          </w:tcPr>
          <w:p w:rsidR="004B48BD" w:rsidRPr="006C1EFE" w:rsidRDefault="004B48BD" w:rsidP="009D4B9E">
            <w:pPr>
              <w:snapToGrid w:val="0"/>
              <w:spacing w:before="60" w:after="60"/>
              <w:ind w:firstLine="51"/>
              <w:rPr>
                <w:color w:val="000000" w:themeColor="text1"/>
                <w:sz w:val="22"/>
                <w:szCs w:val="22"/>
              </w:rPr>
            </w:pPr>
            <w:r w:rsidRPr="006C1EFE">
              <w:rPr>
                <w:color w:val="000000" w:themeColor="text1"/>
                <w:sz w:val="22"/>
                <w:szCs w:val="22"/>
              </w:rPr>
              <w:t>Планируется дальнейшее привлечение частного капитала в  строительство современных торговых объектов, в т.ч. многофункциональных  крупных торговых объектов, торговых объектов шаговой доступности и др. До 2017 года за счет средств частых инвесторов планируется ввод торгового комплекса «Приморец», торгового комплекса «Эльдорадо», строительного супермаркета, торгово-выставочного комплекса в районе оз.Соленого. Общая площадь введенных объектов торговли может составить более 30 тыс. кв. м.  В целом количество торговых объектов увеличится на 51 единицу.</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4B48BD" w:rsidRPr="006C1EFE" w:rsidRDefault="004B48BD" w:rsidP="009D4B9E">
            <w:pPr>
              <w:snapToGrid w:val="0"/>
              <w:spacing w:before="60" w:after="60"/>
              <w:ind w:hanging="82"/>
              <w:rPr>
                <w:color w:val="000000" w:themeColor="text1"/>
                <w:sz w:val="22"/>
                <w:szCs w:val="22"/>
              </w:rPr>
            </w:pPr>
            <w:r w:rsidRPr="006C1EFE">
              <w:rPr>
                <w:color w:val="000000" w:themeColor="text1"/>
                <w:sz w:val="22"/>
                <w:szCs w:val="22"/>
              </w:rPr>
              <w:t>Рост оборота розничной торговли, увеличение предприятий розничной торговли, рост обеспеченности населения площадью торговых объектов, создание новых рабочих мест.</w:t>
            </w:r>
          </w:p>
        </w:tc>
      </w:tr>
    </w:tbl>
    <w:p w:rsidR="006C1EFE" w:rsidRDefault="006C1EFE" w:rsidP="004B48BD">
      <w:pPr>
        <w:spacing w:line="312" w:lineRule="auto"/>
        <w:ind w:firstLine="708"/>
        <w:jc w:val="both"/>
        <w:rPr>
          <w:sz w:val="26"/>
          <w:szCs w:val="26"/>
        </w:rPr>
        <w:sectPr w:rsidR="006C1EFE" w:rsidSect="006C1EFE">
          <w:pgSz w:w="16838" w:h="11906" w:orient="landscape" w:code="9"/>
          <w:pgMar w:top="851" w:right="1134" w:bottom="1701" w:left="794" w:header="709" w:footer="709" w:gutter="0"/>
          <w:cols w:space="708"/>
          <w:titlePg/>
          <w:docGrid w:linePitch="360"/>
        </w:sectPr>
      </w:pPr>
    </w:p>
    <w:p w:rsidR="00363957" w:rsidRDefault="00E02E4C" w:rsidP="004B48BD">
      <w:pPr>
        <w:spacing w:line="312" w:lineRule="auto"/>
        <w:ind w:firstLine="708"/>
        <w:jc w:val="both"/>
        <w:rPr>
          <w:sz w:val="26"/>
          <w:szCs w:val="26"/>
        </w:rPr>
      </w:pPr>
      <w:r>
        <w:rPr>
          <w:sz w:val="26"/>
          <w:szCs w:val="26"/>
        </w:rPr>
        <w:t>в</w:t>
      </w:r>
      <w:r w:rsidR="004B48BD" w:rsidRPr="004B48BD">
        <w:rPr>
          <w:sz w:val="26"/>
          <w:szCs w:val="26"/>
        </w:rPr>
        <w:t>)</w:t>
      </w:r>
      <w:r w:rsidR="004B48BD">
        <w:rPr>
          <w:sz w:val="26"/>
          <w:szCs w:val="26"/>
        </w:rPr>
        <w:t xml:space="preserve"> абзац «Микрорайон Врангель» </w:t>
      </w:r>
      <w:r w:rsidR="00363957">
        <w:rPr>
          <w:sz w:val="26"/>
          <w:szCs w:val="26"/>
        </w:rPr>
        <w:t xml:space="preserve">раздела 2 «Перспективные показатели спроса на коммунальные ресурсы» </w:t>
      </w:r>
      <w:r w:rsidR="004B48BD">
        <w:rPr>
          <w:sz w:val="26"/>
          <w:szCs w:val="26"/>
        </w:rPr>
        <w:t xml:space="preserve">изложить в следующей редакции: </w:t>
      </w:r>
    </w:p>
    <w:p w:rsidR="004B48BD" w:rsidRPr="004B48BD" w:rsidRDefault="004B48BD" w:rsidP="004B48BD">
      <w:pPr>
        <w:spacing w:line="312" w:lineRule="auto"/>
        <w:ind w:firstLine="708"/>
        <w:jc w:val="both"/>
        <w:rPr>
          <w:sz w:val="26"/>
          <w:szCs w:val="26"/>
        </w:rPr>
      </w:pPr>
      <w:r>
        <w:rPr>
          <w:sz w:val="26"/>
          <w:szCs w:val="26"/>
        </w:rPr>
        <w:t>«</w:t>
      </w:r>
      <w:r w:rsidRPr="00DB4888">
        <w:rPr>
          <w:sz w:val="26"/>
          <w:szCs w:val="26"/>
        </w:rPr>
        <w:t xml:space="preserve">В </w:t>
      </w:r>
      <w:r w:rsidRPr="004B48BD">
        <w:rPr>
          <w:sz w:val="26"/>
          <w:szCs w:val="26"/>
        </w:rPr>
        <w:t>рамках проекта Соглашения о сотрудничестве между Администрацией Приморского края и ОАО «НК «Роснефть» предусмотрено строительство ТЭС в районе п.Первостроителей. В настоящее время идет стадия проектирования внутриплощадочных  и внеплощадочных систем  и сооружений ЗАО «Восточная нефтехимическая компания». Отпуск тепловой энергии от ТЭС  ВНХК до п.Береговой, п.Железнодорожников и п.Первостроителей планируется в размере 42 Гкал/час, что полностью  удовлетворит потребности микрорайона с учетом перспективы его разития (существующая нагрузка -  27 Гкал/час).</w:t>
      </w:r>
    </w:p>
    <w:p w:rsidR="004B48BD" w:rsidRDefault="004B48BD" w:rsidP="004B48BD">
      <w:pPr>
        <w:spacing w:line="312" w:lineRule="auto"/>
        <w:ind w:firstLine="708"/>
        <w:jc w:val="both"/>
        <w:rPr>
          <w:sz w:val="26"/>
          <w:szCs w:val="26"/>
        </w:rPr>
      </w:pPr>
      <w:r w:rsidRPr="004B48BD">
        <w:rPr>
          <w:sz w:val="26"/>
          <w:szCs w:val="26"/>
        </w:rPr>
        <w:t>Выработка тепловой энергии на ТЭС ВНХК предусматривается из отборов паровых при когенерационной выработке электроэнергии и во встроенных водоводяных теплообменниках котлов-утилизаторов газотурбинных установок (ГТУ), что положительным образом скажется на стоимости тепловой энергии для конечных потребителей. Основным видом топлива ТЭС ВНХК является природный газ из газопроводной системы Приморского края. Для подключения поселка Береговой микрорайона Врангель проектом ВНХК предусматривается вывод тепловой сети ВНХК с северо-западной стороны площадки. Для подключения поселка Первостроителей микрорайона Врангель предусматривается вывод тепловой сети с площадки ВНХК на южной границе. Температурный график 130 – 70 С. Схема теплоснабжения – закрытая, гидравлически независимая. Для подачи качественной и в полном объеме услуги отопления и ГВС, необходимо предусмотреть строительство тепловых сетей от площадки ЗАО «Восточная нефтехимическая компания» до котельных 5.1, 5.2, 5.4, которые в свою очередь должны быть переоборудованы в центральные тепловые пункты, восстановить все внутридомовые и площадочные сети ГВС.</w:t>
      </w:r>
      <w:r w:rsidR="00363957">
        <w:rPr>
          <w:sz w:val="26"/>
          <w:szCs w:val="26"/>
        </w:rPr>
        <w:t>»;</w:t>
      </w:r>
    </w:p>
    <w:p w:rsidR="004B48BD" w:rsidRDefault="00E02E4C" w:rsidP="004B48BD">
      <w:pPr>
        <w:spacing w:line="312" w:lineRule="auto"/>
        <w:ind w:firstLine="708"/>
        <w:jc w:val="both"/>
        <w:rPr>
          <w:sz w:val="26"/>
          <w:szCs w:val="26"/>
        </w:rPr>
      </w:pPr>
      <w:r>
        <w:rPr>
          <w:sz w:val="26"/>
          <w:szCs w:val="26"/>
        </w:rPr>
        <w:t>г</w:t>
      </w:r>
      <w:r w:rsidR="004B48BD">
        <w:rPr>
          <w:sz w:val="26"/>
          <w:szCs w:val="26"/>
        </w:rPr>
        <w:t xml:space="preserve">) </w:t>
      </w:r>
      <w:r w:rsidR="009D4B9E">
        <w:rPr>
          <w:sz w:val="26"/>
          <w:szCs w:val="26"/>
        </w:rPr>
        <w:t xml:space="preserve">приложение 2 раздела 4 </w:t>
      </w:r>
      <w:r w:rsidR="00363957">
        <w:rPr>
          <w:sz w:val="26"/>
          <w:szCs w:val="26"/>
        </w:rPr>
        <w:t xml:space="preserve">«Характеристика состояния и проблем в реализации энергоресурсосбережения и учета и сбора информации» </w:t>
      </w:r>
      <w:r w:rsidR="009D4B9E">
        <w:rPr>
          <w:sz w:val="26"/>
          <w:szCs w:val="26"/>
        </w:rPr>
        <w:t>дополнить таблицей следующего содержания:</w:t>
      </w:r>
    </w:p>
    <w:p w:rsidR="009D4B9E" w:rsidRDefault="006C1EFE" w:rsidP="00363957">
      <w:pPr>
        <w:ind w:firstLine="708"/>
        <w:rPr>
          <w:sz w:val="26"/>
          <w:szCs w:val="26"/>
        </w:rPr>
      </w:pPr>
      <w:r>
        <w:rPr>
          <w:sz w:val="26"/>
          <w:szCs w:val="26"/>
        </w:rPr>
        <w:t>«</w:t>
      </w:r>
      <w:r w:rsidR="009D4B9E" w:rsidRPr="009D4B9E">
        <w:rPr>
          <w:sz w:val="26"/>
          <w:szCs w:val="26"/>
        </w:rPr>
        <w:t>Перечень технических мероприятий по модернизации системы теплоснабжения в микрорайоне Врангель</w:t>
      </w:r>
    </w:p>
    <w:p w:rsidR="00363957" w:rsidRPr="009D4B9E" w:rsidRDefault="00363957" w:rsidP="00363957">
      <w:pPr>
        <w:ind w:firstLine="708"/>
        <w:rPr>
          <w:sz w:val="26"/>
          <w:szCs w:val="26"/>
        </w:rPr>
      </w:pPr>
    </w:p>
    <w:tbl>
      <w:tblPr>
        <w:tblStyle w:val="a7"/>
        <w:tblW w:w="0" w:type="auto"/>
        <w:tblLayout w:type="fixed"/>
        <w:tblLook w:val="04A0"/>
      </w:tblPr>
      <w:tblGrid>
        <w:gridCol w:w="2287"/>
        <w:gridCol w:w="2397"/>
        <w:gridCol w:w="3646"/>
        <w:gridCol w:w="1240"/>
      </w:tblGrid>
      <w:tr w:rsidR="009D4B9E" w:rsidRPr="009D4B9E" w:rsidTr="00363957">
        <w:tc>
          <w:tcPr>
            <w:tcW w:w="2287" w:type="dxa"/>
          </w:tcPr>
          <w:p w:rsidR="009D4B9E" w:rsidRPr="000A1931" w:rsidRDefault="009D4B9E" w:rsidP="009D4B9E">
            <w:pPr>
              <w:rPr>
                <w:sz w:val="24"/>
                <w:szCs w:val="24"/>
              </w:rPr>
            </w:pPr>
            <w:r w:rsidRPr="000A1931">
              <w:rPr>
                <w:sz w:val="24"/>
                <w:szCs w:val="24"/>
              </w:rPr>
              <w:t>Характеристика поблемы</w:t>
            </w:r>
          </w:p>
        </w:tc>
        <w:tc>
          <w:tcPr>
            <w:tcW w:w="2397" w:type="dxa"/>
          </w:tcPr>
          <w:p w:rsidR="009D4B9E" w:rsidRPr="000A1931" w:rsidRDefault="009D4B9E" w:rsidP="009D4B9E">
            <w:pPr>
              <w:rPr>
                <w:sz w:val="24"/>
                <w:szCs w:val="24"/>
              </w:rPr>
            </w:pPr>
            <w:r w:rsidRPr="000A1931">
              <w:rPr>
                <w:sz w:val="24"/>
                <w:szCs w:val="24"/>
              </w:rPr>
              <w:t>Предлагаемое решение</w:t>
            </w:r>
          </w:p>
        </w:tc>
        <w:tc>
          <w:tcPr>
            <w:tcW w:w="3646" w:type="dxa"/>
          </w:tcPr>
          <w:p w:rsidR="009D4B9E" w:rsidRPr="000A1931" w:rsidRDefault="009D4B9E" w:rsidP="009D4B9E">
            <w:pPr>
              <w:rPr>
                <w:sz w:val="24"/>
                <w:szCs w:val="24"/>
              </w:rPr>
            </w:pPr>
            <w:r w:rsidRPr="000A1931">
              <w:rPr>
                <w:sz w:val="24"/>
                <w:szCs w:val="24"/>
              </w:rPr>
              <w:t xml:space="preserve">Необходимые мероприятия </w:t>
            </w:r>
          </w:p>
        </w:tc>
        <w:tc>
          <w:tcPr>
            <w:tcW w:w="1240" w:type="dxa"/>
          </w:tcPr>
          <w:p w:rsidR="009D4B9E" w:rsidRPr="000A1931" w:rsidRDefault="009D4B9E" w:rsidP="009D4B9E">
            <w:pPr>
              <w:rPr>
                <w:sz w:val="24"/>
                <w:szCs w:val="24"/>
              </w:rPr>
            </w:pPr>
            <w:r w:rsidRPr="000A1931">
              <w:rPr>
                <w:sz w:val="24"/>
                <w:szCs w:val="24"/>
              </w:rPr>
              <w:t>Срок выполнения</w:t>
            </w:r>
          </w:p>
        </w:tc>
      </w:tr>
      <w:tr w:rsidR="00363957" w:rsidRPr="009D4B9E" w:rsidTr="00363957">
        <w:tc>
          <w:tcPr>
            <w:tcW w:w="2287" w:type="dxa"/>
          </w:tcPr>
          <w:p w:rsidR="00363957" w:rsidRPr="000A1931" w:rsidRDefault="00363957" w:rsidP="009D4B9E">
            <w:pPr>
              <w:rPr>
                <w:sz w:val="24"/>
                <w:szCs w:val="24"/>
              </w:rPr>
            </w:pPr>
            <w:r w:rsidRPr="000A1931">
              <w:rPr>
                <w:sz w:val="24"/>
                <w:szCs w:val="24"/>
              </w:rPr>
              <w:t>Надежное обеспечение потребителей Находкинского городского округа тепловой энергией в микрорайоне Врангель</w:t>
            </w:r>
          </w:p>
        </w:tc>
        <w:tc>
          <w:tcPr>
            <w:tcW w:w="2397" w:type="dxa"/>
          </w:tcPr>
          <w:p w:rsidR="00363957" w:rsidRPr="000A1931" w:rsidRDefault="00363957" w:rsidP="009D4B9E">
            <w:pPr>
              <w:rPr>
                <w:sz w:val="24"/>
                <w:szCs w:val="24"/>
              </w:rPr>
            </w:pPr>
            <w:r w:rsidRPr="000A1931">
              <w:rPr>
                <w:sz w:val="24"/>
                <w:szCs w:val="24"/>
              </w:rPr>
              <w:t>Перераспределение излишков тепловой энергии, вырабатываемых ТЭС ЗАО «ВНХК» для целей теплоснабжения объектов социального назначения и жилого фонда микрорайона Врангель</w:t>
            </w:r>
          </w:p>
        </w:tc>
        <w:tc>
          <w:tcPr>
            <w:tcW w:w="3646" w:type="dxa"/>
            <w:shd w:val="clear" w:color="auto" w:fill="auto"/>
          </w:tcPr>
          <w:p w:rsidR="00363957" w:rsidRPr="000A1931" w:rsidRDefault="00363957" w:rsidP="00363957">
            <w:pPr>
              <w:rPr>
                <w:sz w:val="24"/>
                <w:szCs w:val="24"/>
              </w:rPr>
            </w:pPr>
            <w:r w:rsidRPr="000A1931">
              <w:rPr>
                <w:sz w:val="24"/>
                <w:szCs w:val="24"/>
              </w:rPr>
              <w:t>1.Строительство и ввод в эксплуатацию тепловой электрической станции ЗАО «ВНХК»</w:t>
            </w:r>
          </w:p>
          <w:p w:rsidR="00363957" w:rsidRPr="000A1931" w:rsidRDefault="00363957" w:rsidP="00363957">
            <w:pPr>
              <w:rPr>
                <w:sz w:val="24"/>
                <w:szCs w:val="24"/>
              </w:rPr>
            </w:pPr>
            <w:r w:rsidRPr="000A1931">
              <w:rPr>
                <w:sz w:val="24"/>
                <w:szCs w:val="24"/>
              </w:rPr>
              <w:t>2.Строительство и ввод в эксплуатацию внутриплощадочных тепловых сетей от ТЭС ЗАО «ВНХК» до границы промышленной площадки ВНХК (до точек подключения внеплощадочных тепловых сетей Находкинского городского округа</w:t>
            </w:r>
          </w:p>
          <w:p w:rsidR="00363957" w:rsidRPr="000A1931" w:rsidRDefault="00363957" w:rsidP="00363957">
            <w:pPr>
              <w:rPr>
                <w:sz w:val="24"/>
                <w:szCs w:val="24"/>
              </w:rPr>
            </w:pPr>
            <w:r w:rsidRPr="000A1931">
              <w:rPr>
                <w:sz w:val="24"/>
                <w:szCs w:val="24"/>
              </w:rPr>
              <w:t xml:space="preserve">3.Строительство магистральных тепловых сетей от точек подключения на границе ВНХК до котельных в поселках Береговой и Первостроителей </w:t>
            </w:r>
          </w:p>
          <w:p w:rsidR="00363957" w:rsidRPr="000A1931" w:rsidRDefault="00363957" w:rsidP="00363957">
            <w:pPr>
              <w:rPr>
                <w:sz w:val="24"/>
                <w:szCs w:val="24"/>
              </w:rPr>
            </w:pPr>
            <w:r w:rsidRPr="000A1931">
              <w:rPr>
                <w:sz w:val="24"/>
                <w:szCs w:val="24"/>
              </w:rPr>
              <w:t>4.Реконструкция существующих котельных с переводом их в разряд центральных тепловых пунктов (демонтаж существующих котлов, демонтаж вспомогательного оборудования, установка теплообменных аппаратов с соответствующей обвязкой, насосного оборудования, оборудования  водоподготовки (вакуумные деаэраторы) систем регулирования и учета</w:t>
            </w:r>
          </w:p>
          <w:p w:rsidR="00363957" w:rsidRPr="000A1931" w:rsidRDefault="00363957" w:rsidP="00363957">
            <w:pPr>
              <w:rPr>
                <w:sz w:val="24"/>
                <w:szCs w:val="24"/>
              </w:rPr>
            </w:pPr>
            <w:r w:rsidRPr="000A1931">
              <w:rPr>
                <w:sz w:val="24"/>
                <w:szCs w:val="24"/>
              </w:rPr>
              <w:t>5.Реконструкция (частичная замена) внутриквартальных тепловых сетей, в том числе с учетом планируемого обеспечения населения тепловой энергией для ГВС (в т.ч. в летний период)</w:t>
            </w:r>
          </w:p>
          <w:p w:rsidR="00363957" w:rsidRPr="000A1931" w:rsidRDefault="00363957" w:rsidP="00363957">
            <w:pPr>
              <w:rPr>
                <w:sz w:val="24"/>
                <w:szCs w:val="24"/>
              </w:rPr>
            </w:pPr>
            <w:r w:rsidRPr="000A1931">
              <w:rPr>
                <w:sz w:val="24"/>
                <w:szCs w:val="24"/>
              </w:rPr>
              <w:t>6.Разработка программы перевода на централизованное обеспечение ГВС, определение типа схемы – открытая /закрытая.</w:t>
            </w:r>
          </w:p>
        </w:tc>
        <w:tc>
          <w:tcPr>
            <w:tcW w:w="1240" w:type="dxa"/>
          </w:tcPr>
          <w:p w:rsidR="00363957" w:rsidRPr="000A1931" w:rsidRDefault="00363957" w:rsidP="00363957">
            <w:pPr>
              <w:rPr>
                <w:sz w:val="24"/>
                <w:szCs w:val="24"/>
              </w:rPr>
            </w:pPr>
            <w:r w:rsidRPr="000A1931">
              <w:rPr>
                <w:sz w:val="24"/>
                <w:szCs w:val="24"/>
              </w:rPr>
              <w:t>2014 - 2017</w:t>
            </w:r>
          </w:p>
          <w:p w:rsidR="00363957" w:rsidRPr="000A1931" w:rsidRDefault="00363957" w:rsidP="009D4B9E">
            <w:pPr>
              <w:rPr>
                <w:sz w:val="24"/>
                <w:szCs w:val="24"/>
              </w:rPr>
            </w:pPr>
          </w:p>
        </w:tc>
      </w:tr>
    </w:tbl>
    <w:p w:rsidR="000A1931" w:rsidRDefault="000A1931" w:rsidP="004B48BD">
      <w:pPr>
        <w:spacing w:line="312" w:lineRule="auto"/>
        <w:ind w:firstLine="708"/>
        <w:jc w:val="both"/>
        <w:rPr>
          <w:sz w:val="26"/>
          <w:szCs w:val="26"/>
        </w:rPr>
      </w:pPr>
    </w:p>
    <w:p w:rsidR="000A1931" w:rsidRDefault="000A1931" w:rsidP="004B48BD">
      <w:pPr>
        <w:spacing w:line="312" w:lineRule="auto"/>
        <w:ind w:firstLine="708"/>
        <w:jc w:val="both"/>
        <w:rPr>
          <w:sz w:val="26"/>
          <w:szCs w:val="26"/>
        </w:rPr>
      </w:pPr>
    </w:p>
    <w:p w:rsidR="000A1931" w:rsidRDefault="000A1931" w:rsidP="004B48BD">
      <w:pPr>
        <w:spacing w:line="312" w:lineRule="auto"/>
        <w:ind w:firstLine="708"/>
        <w:jc w:val="both"/>
        <w:rPr>
          <w:sz w:val="26"/>
          <w:szCs w:val="26"/>
        </w:rPr>
      </w:pPr>
    </w:p>
    <w:p w:rsidR="000A1931" w:rsidRDefault="000A1931" w:rsidP="004B48BD">
      <w:pPr>
        <w:spacing w:line="312" w:lineRule="auto"/>
        <w:ind w:firstLine="708"/>
        <w:jc w:val="both"/>
        <w:rPr>
          <w:sz w:val="26"/>
          <w:szCs w:val="26"/>
        </w:rPr>
      </w:pPr>
    </w:p>
    <w:p w:rsidR="000A1931" w:rsidRDefault="000A1931" w:rsidP="004B48BD">
      <w:pPr>
        <w:spacing w:line="312" w:lineRule="auto"/>
        <w:ind w:firstLine="708"/>
        <w:jc w:val="both"/>
        <w:rPr>
          <w:sz w:val="26"/>
          <w:szCs w:val="26"/>
        </w:rPr>
      </w:pPr>
    </w:p>
    <w:p w:rsidR="000A1931" w:rsidRDefault="000A1931" w:rsidP="004B48BD">
      <w:pPr>
        <w:spacing w:line="312" w:lineRule="auto"/>
        <w:ind w:firstLine="708"/>
        <w:jc w:val="both"/>
        <w:rPr>
          <w:sz w:val="26"/>
          <w:szCs w:val="26"/>
        </w:rPr>
      </w:pPr>
    </w:p>
    <w:p w:rsidR="000A1931" w:rsidRDefault="000A1931" w:rsidP="004B48BD">
      <w:pPr>
        <w:spacing w:line="312" w:lineRule="auto"/>
        <w:ind w:firstLine="708"/>
        <w:jc w:val="both"/>
        <w:rPr>
          <w:sz w:val="26"/>
          <w:szCs w:val="26"/>
        </w:rPr>
      </w:pPr>
    </w:p>
    <w:p w:rsidR="000A1931" w:rsidRDefault="000A1931" w:rsidP="004B48BD">
      <w:pPr>
        <w:spacing w:line="312" w:lineRule="auto"/>
        <w:ind w:firstLine="708"/>
        <w:jc w:val="both"/>
        <w:rPr>
          <w:sz w:val="26"/>
          <w:szCs w:val="26"/>
        </w:rPr>
      </w:pPr>
    </w:p>
    <w:p w:rsidR="000A1931" w:rsidRDefault="000A1931" w:rsidP="004B48BD">
      <w:pPr>
        <w:spacing w:line="312" w:lineRule="auto"/>
        <w:ind w:firstLine="708"/>
        <w:jc w:val="both"/>
        <w:rPr>
          <w:sz w:val="26"/>
          <w:szCs w:val="26"/>
        </w:rPr>
      </w:pPr>
    </w:p>
    <w:p w:rsidR="000A1931" w:rsidRDefault="000A1931" w:rsidP="004B48BD">
      <w:pPr>
        <w:spacing w:line="312" w:lineRule="auto"/>
        <w:ind w:firstLine="708"/>
        <w:jc w:val="both"/>
        <w:rPr>
          <w:sz w:val="26"/>
          <w:szCs w:val="26"/>
        </w:rPr>
      </w:pPr>
    </w:p>
    <w:p w:rsidR="006C1EFE" w:rsidRDefault="006C1EFE" w:rsidP="009D4B9E">
      <w:pPr>
        <w:pStyle w:val="ac"/>
        <w:autoSpaceDE w:val="0"/>
        <w:autoSpaceDN w:val="0"/>
        <w:adjustRightInd w:val="0"/>
        <w:spacing w:line="360" w:lineRule="auto"/>
        <w:ind w:left="0" w:firstLine="360"/>
        <w:rPr>
          <w:sz w:val="26"/>
          <w:szCs w:val="26"/>
        </w:rPr>
        <w:sectPr w:rsidR="006C1EFE" w:rsidSect="00363957">
          <w:pgSz w:w="11906" w:h="16838" w:code="9"/>
          <w:pgMar w:top="426" w:right="851" w:bottom="1134" w:left="1701" w:header="709" w:footer="709" w:gutter="0"/>
          <w:cols w:space="708"/>
          <w:titlePg/>
          <w:docGrid w:linePitch="360"/>
        </w:sectPr>
      </w:pPr>
    </w:p>
    <w:p w:rsidR="000A1931" w:rsidRDefault="000A1931" w:rsidP="009D4B9E">
      <w:pPr>
        <w:pStyle w:val="ac"/>
        <w:autoSpaceDE w:val="0"/>
        <w:autoSpaceDN w:val="0"/>
        <w:adjustRightInd w:val="0"/>
        <w:spacing w:line="360" w:lineRule="auto"/>
        <w:ind w:left="0" w:firstLine="360"/>
        <w:rPr>
          <w:sz w:val="26"/>
          <w:szCs w:val="26"/>
        </w:rPr>
      </w:pPr>
    </w:p>
    <w:p w:rsidR="000A1931" w:rsidRDefault="000A1931" w:rsidP="000A1931">
      <w:pPr>
        <w:spacing w:line="312" w:lineRule="auto"/>
        <w:ind w:firstLine="708"/>
        <w:jc w:val="both"/>
        <w:rPr>
          <w:sz w:val="26"/>
          <w:szCs w:val="26"/>
        </w:rPr>
      </w:pPr>
      <w:r>
        <w:rPr>
          <w:sz w:val="26"/>
          <w:szCs w:val="26"/>
        </w:rPr>
        <w:t>д) таблицу № 114 раздела 6 «Финансовые потребности для реализации программы» изложить в следующей редакции:</w:t>
      </w:r>
    </w:p>
    <w:p w:rsidR="000A1931" w:rsidRDefault="000A1931" w:rsidP="009D4B9E">
      <w:pPr>
        <w:pStyle w:val="ac"/>
        <w:autoSpaceDE w:val="0"/>
        <w:autoSpaceDN w:val="0"/>
        <w:adjustRightInd w:val="0"/>
        <w:spacing w:line="360" w:lineRule="auto"/>
        <w:ind w:left="0" w:firstLine="360"/>
        <w:rPr>
          <w:sz w:val="26"/>
          <w:szCs w:val="26"/>
        </w:rPr>
      </w:pPr>
    </w:p>
    <w:p w:rsidR="009D4B9E" w:rsidRPr="009136DE" w:rsidRDefault="009D4B9E" w:rsidP="009D4B9E">
      <w:pPr>
        <w:pStyle w:val="ac"/>
        <w:autoSpaceDE w:val="0"/>
        <w:autoSpaceDN w:val="0"/>
        <w:adjustRightInd w:val="0"/>
        <w:spacing w:line="360" w:lineRule="auto"/>
        <w:ind w:left="0" w:firstLine="360"/>
        <w:rPr>
          <w:color w:val="000000" w:themeColor="text1"/>
          <w:sz w:val="26"/>
          <w:szCs w:val="26"/>
        </w:rPr>
      </w:pPr>
      <w:r w:rsidRPr="007A3348">
        <w:rPr>
          <w:sz w:val="26"/>
          <w:szCs w:val="26"/>
        </w:rPr>
        <w:t xml:space="preserve">Таблица № </w:t>
      </w:r>
      <w:r>
        <w:rPr>
          <w:sz w:val="26"/>
          <w:szCs w:val="26"/>
        </w:rPr>
        <w:t xml:space="preserve">114                                                                                         </w:t>
      </w:r>
      <w:r w:rsidR="000A1931">
        <w:rPr>
          <w:sz w:val="26"/>
          <w:szCs w:val="26"/>
        </w:rPr>
        <w:t xml:space="preserve">                                                                                   </w:t>
      </w:r>
      <w:r>
        <w:rPr>
          <w:sz w:val="26"/>
          <w:szCs w:val="26"/>
        </w:rPr>
        <w:t xml:space="preserve">    </w:t>
      </w:r>
      <w:r w:rsidRPr="007A3348">
        <w:rPr>
          <w:sz w:val="26"/>
          <w:szCs w:val="26"/>
        </w:rPr>
        <w:t xml:space="preserve">  </w:t>
      </w:r>
      <w:r w:rsidR="000A1931">
        <w:rPr>
          <w:sz w:val="26"/>
          <w:szCs w:val="26"/>
        </w:rPr>
        <w:t>м</w:t>
      </w:r>
      <w:r w:rsidRPr="009136DE">
        <w:rPr>
          <w:color w:val="000000" w:themeColor="text1"/>
          <w:sz w:val="26"/>
          <w:szCs w:val="26"/>
        </w:rPr>
        <w:t>лн.руб.</w:t>
      </w:r>
    </w:p>
    <w:tbl>
      <w:tblPr>
        <w:tblW w:w="15069" w:type="dxa"/>
        <w:tblCellSpacing w:w="5" w:type="nil"/>
        <w:tblInd w:w="-209" w:type="dxa"/>
        <w:tblLayout w:type="fixed"/>
        <w:tblCellMar>
          <w:left w:w="75" w:type="dxa"/>
          <w:right w:w="75" w:type="dxa"/>
        </w:tblCellMar>
        <w:tblLook w:val="0000"/>
      </w:tblPr>
      <w:tblGrid>
        <w:gridCol w:w="1418"/>
        <w:gridCol w:w="851"/>
        <w:gridCol w:w="1134"/>
        <w:gridCol w:w="992"/>
        <w:gridCol w:w="1205"/>
        <w:gridCol w:w="1205"/>
        <w:gridCol w:w="1134"/>
        <w:gridCol w:w="1134"/>
        <w:gridCol w:w="1134"/>
        <w:gridCol w:w="1134"/>
        <w:gridCol w:w="1109"/>
        <w:gridCol w:w="1110"/>
        <w:gridCol w:w="754"/>
        <w:gridCol w:w="755"/>
      </w:tblGrid>
      <w:tr w:rsidR="009D4B9E" w:rsidRPr="009D4B9E" w:rsidTr="002B3257">
        <w:trPr>
          <w:tblCellSpacing w:w="5" w:type="nil"/>
        </w:trPr>
        <w:tc>
          <w:tcPr>
            <w:tcW w:w="1418" w:type="dxa"/>
            <w:tcBorders>
              <w:top w:val="single" w:sz="4" w:space="0" w:color="auto"/>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 Всего  </w:t>
            </w:r>
          </w:p>
        </w:tc>
        <w:tc>
          <w:tcPr>
            <w:tcW w:w="2126" w:type="dxa"/>
            <w:gridSpan w:val="2"/>
            <w:tcBorders>
              <w:top w:val="single" w:sz="4" w:space="0" w:color="auto"/>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    Водоснабжение    </w:t>
            </w:r>
          </w:p>
        </w:tc>
        <w:tc>
          <w:tcPr>
            <w:tcW w:w="2410" w:type="dxa"/>
            <w:gridSpan w:val="2"/>
            <w:tcBorders>
              <w:top w:val="single" w:sz="4" w:space="0" w:color="auto"/>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    Водоотведение    </w:t>
            </w:r>
          </w:p>
        </w:tc>
        <w:tc>
          <w:tcPr>
            <w:tcW w:w="2268" w:type="dxa"/>
            <w:gridSpan w:val="2"/>
            <w:tcBorders>
              <w:top w:val="single" w:sz="4" w:space="0" w:color="auto"/>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   Теплоснабжение    </w:t>
            </w:r>
          </w:p>
        </w:tc>
        <w:tc>
          <w:tcPr>
            <w:tcW w:w="2268" w:type="dxa"/>
            <w:gridSpan w:val="2"/>
            <w:tcBorders>
              <w:top w:val="single" w:sz="4" w:space="0" w:color="auto"/>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   Электроснабжение   </w:t>
            </w:r>
          </w:p>
        </w:tc>
        <w:tc>
          <w:tcPr>
            <w:tcW w:w="2219" w:type="dxa"/>
            <w:gridSpan w:val="2"/>
            <w:tcBorders>
              <w:top w:val="single" w:sz="4" w:space="0" w:color="auto"/>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Ливневая канализация</w:t>
            </w:r>
          </w:p>
        </w:tc>
        <w:tc>
          <w:tcPr>
            <w:tcW w:w="1509" w:type="dxa"/>
            <w:gridSpan w:val="2"/>
            <w:tcBorders>
              <w:top w:val="single" w:sz="4" w:space="0" w:color="auto"/>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Утилизация ТБО</w:t>
            </w:r>
          </w:p>
        </w:tc>
      </w:tr>
      <w:tr w:rsidR="009D4B9E" w:rsidRPr="009D4B9E" w:rsidTr="002B3257">
        <w:trPr>
          <w:trHeight w:val="512"/>
          <w:tblCellSpacing w:w="5" w:type="nil"/>
        </w:trPr>
        <w:tc>
          <w:tcPr>
            <w:tcW w:w="1418"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   В т.ч.    </w:t>
            </w:r>
            <w:r w:rsidRPr="009D4B9E">
              <w:rPr>
                <w:rFonts w:ascii="Times New Roman" w:hAnsi="Times New Roman" w:cs="Times New Roman"/>
                <w:sz w:val="20"/>
                <w:szCs w:val="20"/>
              </w:rPr>
              <w:br/>
              <w:t xml:space="preserve">   периоды   </w:t>
            </w:r>
          </w:p>
        </w:tc>
        <w:tc>
          <w:tcPr>
            <w:tcW w:w="851"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 2013-2017 </w:t>
            </w:r>
          </w:p>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 </w:t>
            </w:r>
          </w:p>
        </w:tc>
        <w:tc>
          <w:tcPr>
            <w:tcW w:w="992"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2018- 2025  </w:t>
            </w:r>
          </w:p>
        </w:tc>
        <w:tc>
          <w:tcPr>
            <w:tcW w:w="1205"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2013-2017</w:t>
            </w:r>
          </w:p>
        </w:tc>
        <w:tc>
          <w:tcPr>
            <w:tcW w:w="1205"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2018- 2025  </w:t>
            </w: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2013-2017</w:t>
            </w: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2018- 2025  </w:t>
            </w: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2013-2017</w:t>
            </w: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2018- 2025  </w:t>
            </w:r>
          </w:p>
        </w:tc>
        <w:tc>
          <w:tcPr>
            <w:tcW w:w="1109"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2013-2017</w:t>
            </w:r>
          </w:p>
        </w:tc>
        <w:tc>
          <w:tcPr>
            <w:tcW w:w="1110"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2018- 2025  </w:t>
            </w:r>
          </w:p>
        </w:tc>
        <w:tc>
          <w:tcPr>
            <w:tcW w:w="75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2013-2017</w:t>
            </w:r>
          </w:p>
        </w:tc>
        <w:tc>
          <w:tcPr>
            <w:tcW w:w="755"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2018- 2025  </w:t>
            </w:r>
          </w:p>
        </w:tc>
      </w:tr>
      <w:tr w:rsidR="009D4B9E" w:rsidRPr="009D4B9E" w:rsidTr="002B3257">
        <w:trPr>
          <w:tblCellSpacing w:w="5" w:type="nil"/>
        </w:trPr>
        <w:tc>
          <w:tcPr>
            <w:tcW w:w="1418"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9D4B9E" w:rsidRPr="009D4B9E" w:rsidRDefault="009D4B9E" w:rsidP="009D4B9E">
            <w:pPr>
              <w:pStyle w:val="ConsPlusCell"/>
              <w:ind w:left="-75" w:right="-75"/>
              <w:rPr>
                <w:rFonts w:ascii="Times New Roman" w:hAnsi="Times New Roman" w:cs="Times New Roman"/>
                <w:sz w:val="20"/>
                <w:szCs w:val="20"/>
              </w:rPr>
            </w:pPr>
            <w:r w:rsidRPr="009D4B9E">
              <w:rPr>
                <w:rFonts w:ascii="Times New Roman" w:hAnsi="Times New Roman" w:cs="Times New Roman"/>
                <w:sz w:val="20"/>
                <w:szCs w:val="20"/>
                <w:lang w:val="en-US"/>
              </w:rPr>
              <w:t>6</w:t>
            </w:r>
            <w:r w:rsidRPr="009D4B9E">
              <w:rPr>
                <w:rFonts w:ascii="Times New Roman" w:hAnsi="Times New Roman" w:cs="Times New Roman"/>
                <w:sz w:val="20"/>
                <w:szCs w:val="20"/>
              </w:rPr>
              <w:t>8</w:t>
            </w:r>
            <w:r w:rsidRPr="009D4B9E">
              <w:rPr>
                <w:rFonts w:ascii="Times New Roman" w:hAnsi="Times New Roman" w:cs="Times New Roman"/>
                <w:sz w:val="20"/>
                <w:szCs w:val="20"/>
                <w:lang w:val="en-US"/>
              </w:rPr>
              <w:t>6</w:t>
            </w:r>
            <w:r w:rsidRPr="009D4B9E">
              <w:rPr>
                <w:rFonts w:ascii="Times New Roman" w:hAnsi="Times New Roman" w:cs="Times New Roman"/>
                <w:sz w:val="20"/>
                <w:szCs w:val="20"/>
              </w:rPr>
              <w:t>99,9</w:t>
            </w:r>
          </w:p>
        </w:tc>
        <w:tc>
          <w:tcPr>
            <w:tcW w:w="2126"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14210,2</w:t>
            </w:r>
          </w:p>
        </w:tc>
        <w:tc>
          <w:tcPr>
            <w:tcW w:w="2410"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2973,1</w:t>
            </w:r>
          </w:p>
        </w:tc>
        <w:tc>
          <w:tcPr>
            <w:tcW w:w="2268"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lang w:val="en-US"/>
              </w:rPr>
              <w:t>509</w:t>
            </w:r>
            <w:r w:rsidRPr="009D4B9E">
              <w:rPr>
                <w:rFonts w:ascii="Times New Roman" w:hAnsi="Times New Roman" w:cs="Times New Roman"/>
                <w:sz w:val="20"/>
                <w:szCs w:val="20"/>
              </w:rPr>
              <w:t>73,95</w:t>
            </w:r>
          </w:p>
        </w:tc>
        <w:tc>
          <w:tcPr>
            <w:tcW w:w="2268"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228,1</w:t>
            </w:r>
          </w:p>
        </w:tc>
        <w:tc>
          <w:tcPr>
            <w:tcW w:w="2219"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48,3</w:t>
            </w:r>
          </w:p>
        </w:tc>
        <w:tc>
          <w:tcPr>
            <w:tcW w:w="1509"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266,2</w:t>
            </w:r>
          </w:p>
        </w:tc>
      </w:tr>
      <w:tr w:rsidR="009D4B9E" w:rsidRPr="009D4B9E" w:rsidTr="002B3257">
        <w:trPr>
          <w:trHeight w:val="640"/>
          <w:tblCellSpacing w:w="5" w:type="nil"/>
        </w:trPr>
        <w:tc>
          <w:tcPr>
            <w:tcW w:w="1418"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Затраты на   </w:t>
            </w:r>
            <w:r w:rsidRPr="009D4B9E">
              <w:rPr>
                <w:rFonts w:ascii="Times New Roman" w:hAnsi="Times New Roman" w:cs="Times New Roman"/>
                <w:sz w:val="20"/>
                <w:szCs w:val="20"/>
              </w:rPr>
              <w:br/>
              <w:t xml:space="preserve">реализацию   </w:t>
            </w:r>
            <w:r w:rsidRPr="009D4B9E">
              <w:rPr>
                <w:rFonts w:ascii="Times New Roman" w:hAnsi="Times New Roman" w:cs="Times New Roman"/>
                <w:sz w:val="20"/>
                <w:szCs w:val="20"/>
              </w:rPr>
              <w:br/>
              <w:t xml:space="preserve">программных  </w:t>
            </w:r>
            <w:r w:rsidRPr="009D4B9E">
              <w:rPr>
                <w:rFonts w:ascii="Times New Roman" w:hAnsi="Times New Roman" w:cs="Times New Roman"/>
                <w:sz w:val="20"/>
                <w:szCs w:val="20"/>
              </w:rPr>
              <w:br/>
              <w:t xml:space="preserve">мероприятий  </w:t>
            </w:r>
          </w:p>
        </w:tc>
        <w:tc>
          <w:tcPr>
            <w:tcW w:w="851"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14006,2</w:t>
            </w:r>
          </w:p>
        </w:tc>
        <w:tc>
          <w:tcPr>
            <w:tcW w:w="992"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204  </w:t>
            </w:r>
          </w:p>
        </w:tc>
        <w:tc>
          <w:tcPr>
            <w:tcW w:w="1205"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1845,6</w:t>
            </w:r>
          </w:p>
        </w:tc>
        <w:tc>
          <w:tcPr>
            <w:tcW w:w="1205"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1127,5</w:t>
            </w: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lang w:val="en-US"/>
              </w:rPr>
              <w:t>509</w:t>
            </w:r>
            <w:r w:rsidRPr="009D4B9E">
              <w:rPr>
                <w:rFonts w:ascii="Times New Roman" w:hAnsi="Times New Roman" w:cs="Times New Roman"/>
                <w:sz w:val="20"/>
                <w:szCs w:val="20"/>
              </w:rPr>
              <w:t>73,95</w:t>
            </w: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228,1</w:t>
            </w: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1109"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48,3</w:t>
            </w:r>
          </w:p>
        </w:tc>
        <w:tc>
          <w:tcPr>
            <w:tcW w:w="1110"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75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248,2</w:t>
            </w:r>
          </w:p>
        </w:tc>
        <w:tc>
          <w:tcPr>
            <w:tcW w:w="755"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18</w:t>
            </w:r>
          </w:p>
        </w:tc>
      </w:tr>
      <w:tr w:rsidR="009D4B9E" w:rsidRPr="009D4B9E" w:rsidTr="002B3257">
        <w:trPr>
          <w:tblCellSpacing w:w="5" w:type="nil"/>
        </w:trPr>
        <w:tc>
          <w:tcPr>
            <w:tcW w:w="1418"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9D4B9E" w:rsidRPr="009D4B9E" w:rsidRDefault="009D4B9E" w:rsidP="009D4B9E">
            <w:pPr>
              <w:pStyle w:val="ConsPlusCell"/>
              <w:ind w:left="-75" w:right="-75"/>
              <w:rPr>
                <w:rFonts w:ascii="Times New Roman" w:hAnsi="Times New Roman" w:cs="Times New Roman"/>
                <w:sz w:val="20"/>
                <w:szCs w:val="20"/>
              </w:rPr>
            </w:pPr>
            <w:r w:rsidRPr="009D4B9E">
              <w:rPr>
                <w:rFonts w:ascii="Times New Roman" w:hAnsi="Times New Roman" w:cs="Times New Roman"/>
                <w:sz w:val="20"/>
                <w:szCs w:val="20"/>
                <w:lang w:val="en-US"/>
              </w:rPr>
              <w:t>67274</w:t>
            </w:r>
            <w:r w:rsidRPr="009D4B9E">
              <w:rPr>
                <w:rFonts w:ascii="Times New Roman" w:hAnsi="Times New Roman" w:cs="Times New Roman"/>
                <w:sz w:val="20"/>
                <w:szCs w:val="20"/>
              </w:rPr>
              <w:t>,4</w:t>
            </w:r>
          </w:p>
        </w:tc>
        <w:tc>
          <w:tcPr>
            <w:tcW w:w="2126"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13934,5</w:t>
            </w:r>
          </w:p>
        </w:tc>
        <w:tc>
          <w:tcPr>
            <w:tcW w:w="2410"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2571,1</w:t>
            </w:r>
          </w:p>
        </w:tc>
        <w:tc>
          <w:tcPr>
            <w:tcW w:w="2268"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lang w:val="en-US"/>
              </w:rPr>
              <w:t>503</w:t>
            </w:r>
            <w:r w:rsidRPr="009D4B9E">
              <w:rPr>
                <w:rFonts w:ascii="Times New Roman" w:hAnsi="Times New Roman" w:cs="Times New Roman"/>
                <w:sz w:val="20"/>
                <w:szCs w:val="20"/>
              </w:rPr>
              <w:t>15</w:t>
            </w:r>
          </w:p>
        </w:tc>
        <w:tc>
          <w:tcPr>
            <w:tcW w:w="2268"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162,6</w:t>
            </w:r>
          </w:p>
        </w:tc>
        <w:tc>
          <w:tcPr>
            <w:tcW w:w="2219"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25</w:t>
            </w:r>
          </w:p>
        </w:tc>
        <w:tc>
          <w:tcPr>
            <w:tcW w:w="1509"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266,2</w:t>
            </w:r>
          </w:p>
        </w:tc>
      </w:tr>
      <w:tr w:rsidR="009D4B9E" w:rsidRPr="009D4B9E" w:rsidTr="002B3257">
        <w:trPr>
          <w:trHeight w:val="960"/>
          <w:tblCellSpacing w:w="5" w:type="nil"/>
        </w:trPr>
        <w:tc>
          <w:tcPr>
            <w:tcW w:w="1418"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Новое        </w:t>
            </w:r>
            <w:r w:rsidRPr="009D4B9E">
              <w:rPr>
                <w:rFonts w:ascii="Times New Roman" w:hAnsi="Times New Roman" w:cs="Times New Roman"/>
                <w:sz w:val="20"/>
                <w:szCs w:val="20"/>
              </w:rPr>
              <w:br/>
              <w:t>строительство</w:t>
            </w:r>
            <w:r w:rsidRPr="009D4B9E">
              <w:rPr>
                <w:rFonts w:ascii="Times New Roman" w:hAnsi="Times New Roman" w:cs="Times New Roman"/>
                <w:sz w:val="20"/>
                <w:szCs w:val="20"/>
              </w:rPr>
              <w:br/>
              <w:t xml:space="preserve">объектов     </w:t>
            </w:r>
            <w:r w:rsidRPr="009D4B9E">
              <w:rPr>
                <w:rFonts w:ascii="Times New Roman" w:hAnsi="Times New Roman" w:cs="Times New Roman"/>
                <w:sz w:val="20"/>
                <w:szCs w:val="20"/>
              </w:rPr>
              <w:br/>
              <w:t>коммунального</w:t>
            </w:r>
            <w:r w:rsidRPr="009D4B9E">
              <w:rPr>
                <w:rFonts w:ascii="Times New Roman" w:hAnsi="Times New Roman" w:cs="Times New Roman"/>
                <w:sz w:val="20"/>
                <w:szCs w:val="20"/>
              </w:rPr>
              <w:br/>
              <w:t xml:space="preserve">назначения и </w:t>
            </w:r>
            <w:r w:rsidRPr="009D4B9E">
              <w:rPr>
                <w:rFonts w:ascii="Times New Roman" w:hAnsi="Times New Roman" w:cs="Times New Roman"/>
                <w:sz w:val="20"/>
                <w:szCs w:val="20"/>
              </w:rPr>
              <w:br/>
              <w:t>реконструкции</w:t>
            </w:r>
          </w:p>
        </w:tc>
        <w:tc>
          <w:tcPr>
            <w:tcW w:w="851"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 13763</w:t>
            </w:r>
          </w:p>
        </w:tc>
        <w:tc>
          <w:tcPr>
            <w:tcW w:w="992"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171,5</w:t>
            </w:r>
          </w:p>
        </w:tc>
        <w:tc>
          <w:tcPr>
            <w:tcW w:w="1205"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1461,1</w:t>
            </w:r>
          </w:p>
        </w:tc>
        <w:tc>
          <w:tcPr>
            <w:tcW w:w="1205"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1110</w:t>
            </w: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lang w:val="en-US"/>
              </w:rPr>
              <w:t>503</w:t>
            </w:r>
            <w:r w:rsidRPr="009D4B9E">
              <w:rPr>
                <w:rFonts w:ascii="Times New Roman" w:hAnsi="Times New Roman" w:cs="Times New Roman"/>
                <w:sz w:val="20"/>
                <w:szCs w:val="20"/>
              </w:rPr>
              <w:t>15</w:t>
            </w: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162,6</w:t>
            </w: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1109"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25</w:t>
            </w:r>
          </w:p>
        </w:tc>
        <w:tc>
          <w:tcPr>
            <w:tcW w:w="1110"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75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248,2</w:t>
            </w:r>
          </w:p>
        </w:tc>
        <w:tc>
          <w:tcPr>
            <w:tcW w:w="755"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18</w:t>
            </w:r>
          </w:p>
        </w:tc>
      </w:tr>
      <w:tr w:rsidR="009D4B9E" w:rsidRPr="009D4B9E" w:rsidTr="002B3257">
        <w:trPr>
          <w:tblCellSpacing w:w="5" w:type="nil"/>
        </w:trPr>
        <w:tc>
          <w:tcPr>
            <w:tcW w:w="1418"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1425,5</w:t>
            </w:r>
          </w:p>
        </w:tc>
        <w:tc>
          <w:tcPr>
            <w:tcW w:w="2126"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275,77              </w:t>
            </w:r>
          </w:p>
        </w:tc>
        <w:tc>
          <w:tcPr>
            <w:tcW w:w="2410"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402</w:t>
            </w:r>
          </w:p>
        </w:tc>
        <w:tc>
          <w:tcPr>
            <w:tcW w:w="2268"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658,95</w:t>
            </w:r>
          </w:p>
        </w:tc>
        <w:tc>
          <w:tcPr>
            <w:tcW w:w="2268"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65,5</w:t>
            </w:r>
          </w:p>
        </w:tc>
        <w:tc>
          <w:tcPr>
            <w:tcW w:w="2219"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23,3</w:t>
            </w:r>
          </w:p>
        </w:tc>
        <w:tc>
          <w:tcPr>
            <w:tcW w:w="1509" w:type="dxa"/>
            <w:gridSpan w:val="2"/>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w:t>
            </w:r>
          </w:p>
        </w:tc>
      </w:tr>
      <w:tr w:rsidR="009D4B9E" w:rsidRPr="009D4B9E" w:rsidTr="002B3257">
        <w:trPr>
          <w:trHeight w:val="640"/>
          <w:tblCellSpacing w:w="5" w:type="nil"/>
        </w:trPr>
        <w:tc>
          <w:tcPr>
            <w:tcW w:w="1418"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 xml:space="preserve">Модернизация </w:t>
            </w:r>
            <w:r w:rsidRPr="009D4B9E">
              <w:rPr>
                <w:rFonts w:ascii="Times New Roman" w:hAnsi="Times New Roman" w:cs="Times New Roman"/>
                <w:sz w:val="20"/>
                <w:szCs w:val="20"/>
              </w:rPr>
              <w:br/>
              <w:t xml:space="preserve">объектов     </w:t>
            </w:r>
            <w:r w:rsidRPr="009D4B9E">
              <w:rPr>
                <w:rFonts w:ascii="Times New Roman" w:hAnsi="Times New Roman" w:cs="Times New Roman"/>
                <w:sz w:val="20"/>
                <w:szCs w:val="20"/>
              </w:rPr>
              <w:br/>
              <w:t>коммунального</w:t>
            </w:r>
            <w:r w:rsidRPr="009D4B9E">
              <w:rPr>
                <w:rFonts w:ascii="Times New Roman" w:hAnsi="Times New Roman" w:cs="Times New Roman"/>
                <w:sz w:val="20"/>
                <w:szCs w:val="20"/>
              </w:rPr>
              <w:br/>
              <w:t xml:space="preserve">назначения   </w:t>
            </w:r>
          </w:p>
        </w:tc>
        <w:tc>
          <w:tcPr>
            <w:tcW w:w="851"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243,2</w:t>
            </w:r>
          </w:p>
        </w:tc>
        <w:tc>
          <w:tcPr>
            <w:tcW w:w="992"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32,5</w:t>
            </w:r>
          </w:p>
        </w:tc>
        <w:tc>
          <w:tcPr>
            <w:tcW w:w="1205"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384,5</w:t>
            </w:r>
          </w:p>
        </w:tc>
        <w:tc>
          <w:tcPr>
            <w:tcW w:w="1205"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17,5</w:t>
            </w: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658,95</w:t>
            </w: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65,5</w:t>
            </w:r>
          </w:p>
        </w:tc>
        <w:tc>
          <w:tcPr>
            <w:tcW w:w="113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1109"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r w:rsidRPr="009D4B9E">
              <w:rPr>
                <w:rFonts w:ascii="Times New Roman" w:hAnsi="Times New Roman" w:cs="Times New Roman"/>
                <w:sz w:val="20"/>
                <w:szCs w:val="20"/>
              </w:rPr>
              <w:t>23,3</w:t>
            </w:r>
          </w:p>
        </w:tc>
        <w:tc>
          <w:tcPr>
            <w:tcW w:w="1110"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754"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c>
          <w:tcPr>
            <w:tcW w:w="755" w:type="dxa"/>
            <w:tcBorders>
              <w:left w:val="single" w:sz="4" w:space="0" w:color="auto"/>
              <w:bottom w:val="single" w:sz="4" w:space="0" w:color="auto"/>
              <w:right w:val="single" w:sz="4" w:space="0" w:color="auto"/>
            </w:tcBorders>
          </w:tcPr>
          <w:p w:rsidR="009D4B9E" w:rsidRPr="009D4B9E" w:rsidRDefault="009D4B9E" w:rsidP="009D4B9E">
            <w:pPr>
              <w:pStyle w:val="ConsPlusCell"/>
              <w:rPr>
                <w:rFonts w:ascii="Times New Roman" w:hAnsi="Times New Roman" w:cs="Times New Roman"/>
                <w:sz w:val="20"/>
                <w:szCs w:val="20"/>
              </w:rPr>
            </w:pPr>
          </w:p>
        </w:tc>
      </w:tr>
    </w:tbl>
    <w:p w:rsidR="009D4B9E" w:rsidRPr="009136DE" w:rsidRDefault="009D4B9E" w:rsidP="009D4B9E">
      <w:pPr>
        <w:widowControl w:val="0"/>
        <w:autoSpaceDE w:val="0"/>
        <w:autoSpaceDN w:val="0"/>
        <w:adjustRightInd w:val="0"/>
        <w:ind w:firstLine="540"/>
        <w:rPr>
          <w:b/>
          <w:color w:val="000000" w:themeColor="text1"/>
        </w:rPr>
      </w:pPr>
    </w:p>
    <w:p w:rsidR="009D4B9E" w:rsidRPr="009136DE" w:rsidRDefault="009D4B9E" w:rsidP="009D4B9E">
      <w:pPr>
        <w:widowControl w:val="0"/>
        <w:autoSpaceDE w:val="0"/>
        <w:autoSpaceDN w:val="0"/>
        <w:adjustRightInd w:val="0"/>
        <w:ind w:firstLine="540"/>
        <w:rPr>
          <w:b/>
          <w:color w:val="000000" w:themeColor="text1"/>
        </w:rPr>
      </w:pPr>
    </w:p>
    <w:p w:rsidR="009D4B9E" w:rsidRPr="009D4B9E" w:rsidRDefault="009D4B9E" w:rsidP="009D4B9E">
      <w:pPr>
        <w:pStyle w:val="ConsPlusNonformat"/>
        <w:rPr>
          <w:rFonts w:ascii="Times New Roman" w:hAnsi="Times New Roman" w:cs="Times New Roman"/>
        </w:rPr>
      </w:pPr>
      <w:r w:rsidRPr="009D4B9E">
        <w:rPr>
          <w:rFonts w:ascii="Times New Roman" w:hAnsi="Times New Roman" w:cs="Times New Roman"/>
          <w:b/>
        </w:rPr>
        <w:t xml:space="preserve">    </w:t>
      </w:r>
      <w:r w:rsidRPr="009D4B9E">
        <w:rPr>
          <w:rFonts w:ascii="Times New Roman" w:hAnsi="Times New Roman" w:cs="Times New Roman"/>
        </w:rPr>
        <w:t xml:space="preserve">- I этап - 2013 - 2017 г.      затраты всего     </w:t>
      </w:r>
      <w:r w:rsidRPr="009D4B9E">
        <w:rPr>
          <w:rFonts w:ascii="Times New Roman" w:hAnsi="Times New Roman" w:cs="Times New Roman"/>
          <w:sz w:val="22"/>
          <w:szCs w:val="22"/>
        </w:rPr>
        <w:t>67350,4</w:t>
      </w:r>
      <w:r w:rsidRPr="009D4B9E">
        <w:rPr>
          <w:rFonts w:ascii="Times New Roman" w:hAnsi="Times New Roman" w:cs="Times New Roman"/>
          <w:sz w:val="26"/>
          <w:szCs w:val="26"/>
        </w:rPr>
        <w:t xml:space="preserve"> </w:t>
      </w:r>
      <w:r w:rsidRPr="009D4B9E">
        <w:rPr>
          <w:rFonts w:ascii="Times New Roman" w:hAnsi="Times New Roman" w:cs="Times New Roman"/>
        </w:rPr>
        <w:t xml:space="preserve">  млн. руб.</w:t>
      </w:r>
    </w:p>
    <w:p w:rsidR="009D4B9E" w:rsidRPr="009D4B9E" w:rsidRDefault="009D4B9E" w:rsidP="009D4B9E">
      <w:pPr>
        <w:pStyle w:val="ConsPlusNonformat"/>
        <w:rPr>
          <w:rFonts w:ascii="Times New Roman" w:hAnsi="Times New Roman" w:cs="Times New Roman"/>
        </w:rPr>
      </w:pPr>
      <w:r w:rsidRPr="009D4B9E">
        <w:rPr>
          <w:rFonts w:ascii="Times New Roman" w:hAnsi="Times New Roman" w:cs="Times New Roman"/>
        </w:rPr>
        <w:t xml:space="preserve">    - II этап - 2018 - 2025 г.     затраты всего     </w:t>
      </w:r>
      <w:r w:rsidRPr="009D4B9E">
        <w:rPr>
          <w:rFonts w:ascii="Times New Roman" w:hAnsi="Times New Roman" w:cs="Times New Roman"/>
          <w:sz w:val="22"/>
          <w:szCs w:val="22"/>
        </w:rPr>
        <w:t>1349,6</w:t>
      </w:r>
      <w:r w:rsidRPr="009D4B9E">
        <w:rPr>
          <w:rFonts w:ascii="Times New Roman" w:hAnsi="Times New Roman" w:cs="Times New Roman"/>
          <w:sz w:val="26"/>
          <w:szCs w:val="26"/>
        </w:rPr>
        <w:t xml:space="preserve"> </w:t>
      </w:r>
      <w:r w:rsidRPr="009D4B9E">
        <w:rPr>
          <w:rFonts w:ascii="Times New Roman" w:hAnsi="Times New Roman" w:cs="Times New Roman"/>
        </w:rPr>
        <w:t xml:space="preserve"> млн. руб.</w:t>
      </w:r>
    </w:p>
    <w:p w:rsidR="009D4B9E" w:rsidRPr="009D4B9E" w:rsidRDefault="009D4B9E" w:rsidP="009D4B9E">
      <w:pPr>
        <w:widowControl w:val="0"/>
        <w:autoSpaceDE w:val="0"/>
        <w:autoSpaceDN w:val="0"/>
        <w:adjustRightInd w:val="0"/>
        <w:ind w:firstLine="540"/>
        <w:outlineLvl w:val="3"/>
        <w:rPr>
          <w:sz w:val="32"/>
          <w:szCs w:val="32"/>
        </w:rPr>
      </w:pPr>
      <w:r w:rsidRPr="009D4B9E">
        <w:t xml:space="preserve">Всего </w:t>
      </w:r>
      <w:r w:rsidRPr="009D4B9E">
        <w:rPr>
          <w:iCs/>
        </w:rPr>
        <w:t>6</w:t>
      </w:r>
      <w:r w:rsidRPr="009D4B9E">
        <w:t>8 699,9</w:t>
      </w:r>
      <w:r w:rsidRPr="009D4B9E">
        <w:rPr>
          <w:sz w:val="26"/>
          <w:szCs w:val="26"/>
        </w:rPr>
        <w:t xml:space="preserve"> </w:t>
      </w:r>
      <w:r w:rsidRPr="009D4B9E">
        <w:t>млн. руб.</w:t>
      </w:r>
      <w:r>
        <w:t xml:space="preserve"> </w:t>
      </w:r>
    </w:p>
    <w:p w:rsidR="006C1EFE" w:rsidRDefault="006C1EFE" w:rsidP="004B48BD">
      <w:pPr>
        <w:spacing w:line="312" w:lineRule="auto"/>
        <w:ind w:firstLine="708"/>
        <w:jc w:val="both"/>
        <w:rPr>
          <w:sz w:val="26"/>
          <w:szCs w:val="26"/>
        </w:rPr>
        <w:sectPr w:rsidR="006C1EFE" w:rsidSect="006C1EFE">
          <w:pgSz w:w="16838" w:h="11906" w:orient="landscape" w:code="9"/>
          <w:pgMar w:top="851" w:right="1134" w:bottom="1701" w:left="794" w:header="709" w:footer="709" w:gutter="0"/>
          <w:cols w:space="708"/>
          <w:titlePg/>
          <w:docGrid w:linePitch="360"/>
        </w:sectPr>
      </w:pPr>
    </w:p>
    <w:p w:rsidR="009D4B9E" w:rsidRPr="009D4B9E" w:rsidRDefault="009D4B9E" w:rsidP="004B48BD">
      <w:pPr>
        <w:spacing w:line="312" w:lineRule="auto"/>
        <w:ind w:firstLine="708"/>
        <w:jc w:val="both"/>
        <w:rPr>
          <w:sz w:val="26"/>
          <w:szCs w:val="26"/>
        </w:rPr>
      </w:pPr>
    </w:p>
    <w:p w:rsidR="00780275" w:rsidRDefault="006B4AB6" w:rsidP="006B4AB6">
      <w:pPr>
        <w:pStyle w:val="a3"/>
        <w:spacing w:after="0"/>
        <w:ind w:right="-5" w:firstLine="709"/>
        <w:jc w:val="both"/>
        <w:rPr>
          <w:sz w:val="26"/>
          <w:szCs w:val="26"/>
        </w:rPr>
      </w:pPr>
      <w:r>
        <w:rPr>
          <w:sz w:val="26"/>
          <w:szCs w:val="26"/>
        </w:rPr>
        <w:t>2. Настоящее решение вступает в силу со дня его официа</w:t>
      </w:r>
      <w:r w:rsidR="004B436F">
        <w:rPr>
          <w:sz w:val="26"/>
          <w:szCs w:val="26"/>
        </w:rPr>
        <w:t>ль</w:t>
      </w:r>
      <w:r>
        <w:rPr>
          <w:sz w:val="26"/>
          <w:szCs w:val="26"/>
        </w:rPr>
        <w:t>ного опубликования.</w:t>
      </w:r>
    </w:p>
    <w:p w:rsidR="005B3D95" w:rsidRDefault="005B3D95" w:rsidP="00126FB8">
      <w:pPr>
        <w:pStyle w:val="a3"/>
        <w:spacing w:after="0"/>
        <w:ind w:right="-5" w:firstLine="567"/>
        <w:jc w:val="both"/>
        <w:rPr>
          <w:sz w:val="26"/>
          <w:szCs w:val="26"/>
        </w:rPr>
      </w:pPr>
    </w:p>
    <w:p w:rsidR="005B3D95" w:rsidRDefault="005B3D95" w:rsidP="00126FB8">
      <w:pPr>
        <w:pStyle w:val="a3"/>
        <w:spacing w:after="0"/>
        <w:ind w:right="-5" w:firstLine="567"/>
        <w:jc w:val="both"/>
        <w:rPr>
          <w:sz w:val="26"/>
          <w:szCs w:val="26"/>
        </w:rPr>
      </w:pPr>
    </w:p>
    <w:p w:rsidR="00780275" w:rsidRPr="001E4FD0" w:rsidRDefault="00780275" w:rsidP="00780275">
      <w:pPr>
        <w:ind w:right="-143"/>
        <w:jc w:val="both"/>
        <w:rPr>
          <w:sz w:val="26"/>
          <w:szCs w:val="26"/>
        </w:rPr>
      </w:pPr>
      <w:r w:rsidRPr="001E4FD0">
        <w:rPr>
          <w:sz w:val="26"/>
          <w:szCs w:val="26"/>
        </w:rPr>
        <w:t xml:space="preserve">Глава Находкинского </w:t>
      </w:r>
    </w:p>
    <w:p w:rsidR="00780275" w:rsidRDefault="00780275" w:rsidP="00780275">
      <w:pPr>
        <w:ind w:right="-143"/>
        <w:jc w:val="both"/>
        <w:rPr>
          <w:sz w:val="26"/>
          <w:szCs w:val="26"/>
        </w:rPr>
      </w:pPr>
      <w:r w:rsidRPr="001E4FD0">
        <w:rPr>
          <w:sz w:val="26"/>
          <w:szCs w:val="26"/>
        </w:rPr>
        <w:t xml:space="preserve">городского округа                                                                                 </w:t>
      </w:r>
      <w:r>
        <w:rPr>
          <w:sz w:val="26"/>
          <w:szCs w:val="26"/>
        </w:rPr>
        <w:t xml:space="preserve">          </w:t>
      </w:r>
      <w:r w:rsidRPr="001E4FD0">
        <w:rPr>
          <w:sz w:val="26"/>
          <w:szCs w:val="26"/>
        </w:rPr>
        <w:t>О.Г. Колядин</w:t>
      </w:r>
    </w:p>
    <w:p w:rsidR="002B3257" w:rsidRDefault="002B3257" w:rsidP="00780275">
      <w:pPr>
        <w:ind w:right="-143"/>
        <w:jc w:val="both"/>
        <w:rPr>
          <w:sz w:val="26"/>
          <w:szCs w:val="26"/>
        </w:rPr>
      </w:pPr>
    </w:p>
    <w:p w:rsidR="002B3257" w:rsidRDefault="0079133D" w:rsidP="00780275">
      <w:pPr>
        <w:ind w:right="-143"/>
        <w:jc w:val="both"/>
        <w:rPr>
          <w:sz w:val="24"/>
          <w:szCs w:val="24"/>
        </w:rPr>
      </w:pPr>
      <w:r>
        <w:rPr>
          <w:sz w:val="24"/>
          <w:szCs w:val="24"/>
        </w:rPr>
        <w:t>21 июня 2013 года</w:t>
      </w:r>
    </w:p>
    <w:p w:rsidR="0079133D" w:rsidRPr="002B3257" w:rsidRDefault="0079133D" w:rsidP="00780275">
      <w:pPr>
        <w:ind w:right="-143"/>
        <w:jc w:val="both"/>
        <w:rPr>
          <w:sz w:val="24"/>
          <w:szCs w:val="24"/>
        </w:rPr>
      </w:pPr>
      <w:r>
        <w:rPr>
          <w:sz w:val="24"/>
          <w:szCs w:val="24"/>
        </w:rPr>
        <w:t>№ 215-НПА</w:t>
      </w:r>
    </w:p>
    <w:p w:rsidR="00032B61" w:rsidRDefault="00032B61" w:rsidP="00780275">
      <w:pPr>
        <w:ind w:right="-143"/>
        <w:jc w:val="both"/>
        <w:rPr>
          <w:sz w:val="26"/>
          <w:szCs w:val="26"/>
        </w:rPr>
      </w:pPr>
    </w:p>
    <w:sectPr w:rsidR="00032B61" w:rsidSect="002B3257">
      <w:pgSz w:w="11906" w:h="16838" w:code="9"/>
      <w:pgMar w:top="79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852" w:rsidRDefault="00AF5852" w:rsidP="00032B61">
      <w:r>
        <w:separator/>
      </w:r>
    </w:p>
  </w:endnote>
  <w:endnote w:type="continuationSeparator" w:id="0">
    <w:p w:rsidR="00AF5852" w:rsidRDefault="00AF5852" w:rsidP="00032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852" w:rsidRDefault="00AF5852" w:rsidP="00032B61">
      <w:r>
        <w:separator/>
      </w:r>
    </w:p>
  </w:footnote>
  <w:footnote w:type="continuationSeparator" w:id="0">
    <w:p w:rsidR="00AF5852" w:rsidRDefault="00AF5852" w:rsidP="00032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1568"/>
      <w:docPartObj>
        <w:docPartGallery w:val="Page Numbers (Top of Page)"/>
        <w:docPartUnique/>
      </w:docPartObj>
    </w:sdtPr>
    <w:sdtContent>
      <w:p w:rsidR="007E256E" w:rsidRDefault="004B02C5">
        <w:pPr>
          <w:pStyle w:val="a8"/>
          <w:jc w:val="right"/>
        </w:pPr>
        <w:fldSimple w:instr=" PAGE   \* MERGEFORMAT ">
          <w:r w:rsidR="000D0C4E">
            <w:rPr>
              <w:noProof/>
            </w:rPr>
            <w:t>8</w:t>
          </w:r>
        </w:fldSimple>
      </w:p>
    </w:sdtContent>
  </w:sdt>
  <w:p w:rsidR="00E02E4C" w:rsidRDefault="00E02E4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5008"/>
    <w:multiLevelType w:val="multilevel"/>
    <w:tmpl w:val="032C0CF0"/>
    <w:lvl w:ilvl="0">
      <w:start w:val="1"/>
      <w:numFmt w:val="decimal"/>
      <w:lvlText w:val="%1."/>
      <w:lvlJc w:val="left"/>
      <w:pPr>
        <w:ind w:left="390" w:hanging="39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552" w:hanging="1800"/>
      </w:pPr>
      <w:rPr>
        <w:rFonts w:hint="default"/>
      </w:rPr>
    </w:lvl>
  </w:abstractNum>
  <w:abstractNum w:abstractNumId="1">
    <w:nsid w:val="31F245EE"/>
    <w:multiLevelType w:val="hybridMultilevel"/>
    <w:tmpl w:val="002E4EB2"/>
    <w:lvl w:ilvl="0" w:tplc="F6F0D8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A314A83"/>
    <w:multiLevelType w:val="hybridMultilevel"/>
    <w:tmpl w:val="A64665A6"/>
    <w:lvl w:ilvl="0" w:tplc="F6F0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CD5D2B"/>
    <w:multiLevelType w:val="hybridMultilevel"/>
    <w:tmpl w:val="06AC30E2"/>
    <w:lvl w:ilvl="0" w:tplc="F6F0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72706"/>
  </w:hdrShapeDefaults>
  <w:footnotePr>
    <w:footnote w:id="-1"/>
    <w:footnote w:id="0"/>
  </w:footnotePr>
  <w:endnotePr>
    <w:endnote w:id="-1"/>
    <w:endnote w:id="0"/>
  </w:endnotePr>
  <w:compat/>
  <w:rsids>
    <w:rsidRoot w:val="00B75C96"/>
    <w:rsid w:val="00020D00"/>
    <w:rsid w:val="00032B61"/>
    <w:rsid w:val="00041278"/>
    <w:rsid w:val="00060E55"/>
    <w:rsid w:val="00074C02"/>
    <w:rsid w:val="00085064"/>
    <w:rsid w:val="000A1931"/>
    <w:rsid w:val="000B2C81"/>
    <w:rsid w:val="000B7894"/>
    <w:rsid w:val="000D0C4E"/>
    <w:rsid w:val="000D26E0"/>
    <w:rsid w:val="000D314D"/>
    <w:rsid w:val="000D5C2B"/>
    <w:rsid w:val="000F677B"/>
    <w:rsid w:val="00126FB8"/>
    <w:rsid w:val="001466B6"/>
    <w:rsid w:val="00153E5C"/>
    <w:rsid w:val="00160099"/>
    <w:rsid w:val="001B29EE"/>
    <w:rsid w:val="001B7CDE"/>
    <w:rsid w:val="001D0B03"/>
    <w:rsid w:val="00213F48"/>
    <w:rsid w:val="00217919"/>
    <w:rsid w:val="00257D87"/>
    <w:rsid w:val="0026406A"/>
    <w:rsid w:val="002713D6"/>
    <w:rsid w:val="002A275F"/>
    <w:rsid w:val="002A3D7F"/>
    <w:rsid w:val="002B3257"/>
    <w:rsid w:val="002D5E4B"/>
    <w:rsid w:val="002E664B"/>
    <w:rsid w:val="00326257"/>
    <w:rsid w:val="00334ACC"/>
    <w:rsid w:val="00337B7D"/>
    <w:rsid w:val="00363957"/>
    <w:rsid w:val="003A62D0"/>
    <w:rsid w:val="003D7D0B"/>
    <w:rsid w:val="003E5F1C"/>
    <w:rsid w:val="00413851"/>
    <w:rsid w:val="00424A2A"/>
    <w:rsid w:val="00433C7B"/>
    <w:rsid w:val="00443F32"/>
    <w:rsid w:val="00454FC6"/>
    <w:rsid w:val="00460B38"/>
    <w:rsid w:val="004B02C5"/>
    <w:rsid w:val="004B436F"/>
    <w:rsid w:val="004B48BD"/>
    <w:rsid w:val="004D05C2"/>
    <w:rsid w:val="004D4DFB"/>
    <w:rsid w:val="004D7152"/>
    <w:rsid w:val="004F1E34"/>
    <w:rsid w:val="00505620"/>
    <w:rsid w:val="005057D4"/>
    <w:rsid w:val="005110C8"/>
    <w:rsid w:val="005131C5"/>
    <w:rsid w:val="00515653"/>
    <w:rsid w:val="00535602"/>
    <w:rsid w:val="00547E16"/>
    <w:rsid w:val="0055458D"/>
    <w:rsid w:val="00555DD4"/>
    <w:rsid w:val="00585A38"/>
    <w:rsid w:val="005B1845"/>
    <w:rsid w:val="005B3D95"/>
    <w:rsid w:val="005B42D3"/>
    <w:rsid w:val="00605F94"/>
    <w:rsid w:val="006155BB"/>
    <w:rsid w:val="00623381"/>
    <w:rsid w:val="0063418F"/>
    <w:rsid w:val="00646AB0"/>
    <w:rsid w:val="006752D5"/>
    <w:rsid w:val="006755D9"/>
    <w:rsid w:val="006802A9"/>
    <w:rsid w:val="006B4AB6"/>
    <w:rsid w:val="006B50A5"/>
    <w:rsid w:val="006C1EFE"/>
    <w:rsid w:val="006C7324"/>
    <w:rsid w:val="007361F5"/>
    <w:rsid w:val="00741B28"/>
    <w:rsid w:val="00753F3A"/>
    <w:rsid w:val="00780275"/>
    <w:rsid w:val="007817DA"/>
    <w:rsid w:val="0079133D"/>
    <w:rsid w:val="007A0905"/>
    <w:rsid w:val="007D46E2"/>
    <w:rsid w:val="007D7944"/>
    <w:rsid w:val="007E256E"/>
    <w:rsid w:val="008065D6"/>
    <w:rsid w:val="0080778F"/>
    <w:rsid w:val="00813BBA"/>
    <w:rsid w:val="00813F78"/>
    <w:rsid w:val="00882CFB"/>
    <w:rsid w:val="00883B4A"/>
    <w:rsid w:val="008A3041"/>
    <w:rsid w:val="008B0A76"/>
    <w:rsid w:val="008B1A9D"/>
    <w:rsid w:val="008C2D50"/>
    <w:rsid w:val="008C4F3C"/>
    <w:rsid w:val="008D4CB1"/>
    <w:rsid w:val="008F396B"/>
    <w:rsid w:val="00900348"/>
    <w:rsid w:val="0097690A"/>
    <w:rsid w:val="00981273"/>
    <w:rsid w:val="00986AD3"/>
    <w:rsid w:val="00997814"/>
    <w:rsid w:val="009B6C43"/>
    <w:rsid w:val="009D4B9E"/>
    <w:rsid w:val="009F011D"/>
    <w:rsid w:val="009F1048"/>
    <w:rsid w:val="009F11F2"/>
    <w:rsid w:val="009F37F9"/>
    <w:rsid w:val="00A00450"/>
    <w:rsid w:val="00A226CE"/>
    <w:rsid w:val="00A377BB"/>
    <w:rsid w:val="00A4175E"/>
    <w:rsid w:val="00A447E8"/>
    <w:rsid w:val="00A8744D"/>
    <w:rsid w:val="00A947B2"/>
    <w:rsid w:val="00A95F97"/>
    <w:rsid w:val="00AC770A"/>
    <w:rsid w:val="00AF5852"/>
    <w:rsid w:val="00B0013A"/>
    <w:rsid w:val="00B75C96"/>
    <w:rsid w:val="00B77140"/>
    <w:rsid w:val="00BA29E9"/>
    <w:rsid w:val="00BC10FE"/>
    <w:rsid w:val="00C02D45"/>
    <w:rsid w:val="00C310FD"/>
    <w:rsid w:val="00C31B73"/>
    <w:rsid w:val="00C61DE8"/>
    <w:rsid w:val="00C813B8"/>
    <w:rsid w:val="00CA2E8D"/>
    <w:rsid w:val="00CB32AD"/>
    <w:rsid w:val="00CC49A4"/>
    <w:rsid w:val="00CE41C3"/>
    <w:rsid w:val="00D14552"/>
    <w:rsid w:val="00D37F77"/>
    <w:rsid w:val="00D901F5"/>
    <w:rsid w:val="00DD324B"/>
    <w:rsid w:val="00DE7FC3"/>
    <w:rsid w:val="00DF3469"/>
    <w:rsid w:val="00E02E4C"/>
    <w:rsid w:val="00E41DCA"/>
    <w:rsid w:val="00E70D7B"/>
    <w:rsid w:val="00E976B6"/>
    <w:rsid w:val="00EA46E3"/>
    <w:rsid w:val="00F10A53"/>
    <w:rsid w:val="00F41C88"/>
    <w:rsid w:val="00F50DF0"/>
    <w:rsid w:val="00F73650"/>
    <w:rsid w:val="00FD2DE4"/>
    <w:rsid w:val="00FD4B65"/>
    <w:rsid w:val="00FD6C39"/>
    <w:rsid w:val="00FE0EE4"/>
    <w:rsid w:val="00FE4327"/>
    <w:rsid w:val="00FF05A9"/>
    <w:rsid w:val="00FF5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C9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02E4C"/>
    <w:pPr>
      <w:keepNext/>
      <w:keepLines/>
      <w:spacing w:before="480"/>
      <w:ind w:firstLine="709"/>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75C96"/>
    <w:pPr>
      <w:spacing w:after="120"/>
    </w:pPr>
  </w:style>
  <w:style w:type="character" w:customStyle="1" w:styleId="a4">
    <w:name w:val="Основной текст Знак"/>
    <w:basedOn w:val="a0"/>
    <w:link w:val="a3"/>
    <w:rsid w:val="00B75C96"/>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75C96"/>
    <w:rPr>
      <w:rFonts w:ascii="Tahoma" w:hAnsi="Tahoma" w:cs="Tahoma"/>
      <w:sz w:val="16"/>
      <w:szCs w:val="16"/>
    </w:rPr>
  </w:style>
  <w:style w:type="character" w:customStyle="1" w:styleId="a6">
    <w:name w:val="Текст выноски Знак"/>
    <w:basedOn w:val="a0"/>
    <w:link w:val="a5"/>
    <w:uiPriority w:val="99"/>
    <w:semiHidden/>
    <w:rsid w:val="00B75C96"/>
    <w:rPr>
      <w:rFonts w:ascii="Tahoma" w:eastAsia="Times New Roman" w:hAnsi="Tahoma" w:cs="Tahoma"/>
      <w:sz w:val="16"/>
      <w:szCs w:val="16"/>
      <w:lang w:eastAsia="ru-RU"/>
    </w:rPr>
  </w:style>
  <w:style w:type="table" w:styleId="a7">
    <w:name w:val="Table Grid"/>
    <w:basedOn w:val="a1"/>
    <w:uiPriority w:val="59"/>
    <w:rsid w:val="00126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126F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header"/>
    <w:basedOn w:val="a"/>
    <w:link w:val="a9"/>
    <w:uiPriority w:val="99"/>
    <w:unhideWhenUsed/>
    <w:rsid w:val="00032B61"/>
    <w:pPr>
      <w:tabs>
        <w:tab w:val="center" w:pos="4677"/>
        <w:tab w:val="right" w:pos="9355"/>
      </w:tabs>
    </w:pPr>
  </w:style>
  <w:style w:type="character" w:customStyle="1" w:styleId="a9">
    <w:name w:val="Верхний колонтитул Знак"/>
    <w:basedOn w:val="a0"/>
    <w:link w:val="a8"/>
    <w:uiPriority w:val="99"/>
    <w:rsid w:val="00032B61"/>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032B61"/>
    <w:pPr>
      <w:tabs>
        <w:tab w:val="center" w:pos="4677"/>
        <w:tab w:val="right" w:pos="9355"/>
      </w:tabs>
    </w:pPr>
  </w:style>
  <w:style w:type="character" w:customStyle="1" w:styleId="ab">
    <w:name w:val="Нижний колонтитул Знак"/>
    <w:basedOn w:val="a0"/>
    <w:link w:val="aa"/>
    <w:uiPriority w:val="99"/>
    <w:semiHidden/>
    <w:rsid w:val="00032B61"/>
    <w:rPr>
      <w:rFonts w:ascii="Times New Roman" w:eastAsia="Times New Roman" w:hAnsi="Times New Roman" w:cs="Times New Roman"/>
      <w:sz w:val="20"/>
      <w:szCs w:val="20"/>
      <w:lang w:eastAsia="ru-RU"/>
    </w:rPr>
  </w:style>
  <w:style w:type="paragraph" w:styleId="ac">
    <w:name w:val="List Paragraph"/>
    <w:basedOn w:val="a"/>
    <w:uiPriority w:val="34"/>
    <w:qFormat/>
    <w:rsid w:val="00CE41C3"/>
    <w:pPr>
      <w:ind w:left="720"/>
      <w:contextualSpacing/>
    </w:pPr>
  </w:style>
  <w:style w:type="paragraph" w:customStyle="1" w:styleId="ConsPlusNormal">
    <w:name w:val="ConsPlusNormal"/>
    <w:rsid w:val="005B184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0045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00450"/>
    <w:pPr>
      <w:widowControl w:val="0"/>
      <w:autoSpaceDE w:val="0"/>
      <w:autoSpaceDN w:val="0"/>
      <w:adjustRightInd w:val="0"/>
      <w:spacing w:after="0" w:line="240" w:lineRule="auto"/>
    </w:pPr>
    <w:rPr>
      <w:rFonts w:ascii="Calibri" w:eastAsiaTheme="minorEastAsia" w:hAnsi="Calibri" w:cs="Calibri"/>
      <w:lang w:eastAsia="ru-RU"/>
    </w:rPr>
  </w:style>
  <w:style w:type="paragraph" w:styleId="3">
    <w:name w:val="Body Text Indent 3"/>
    <w:basedOn w:val="a"/>
    <w:link w:val="30"/>
    <w:uiPriority w:val="99"/>
    <w:semiHidden/>
    <w:unhideWhenUsed/>
    <w:rsid w:val="004B48BD"/>
    <w:pPr>
      <w:spacing w:after="120"/>
      <w:ind w:left="283"/>
    </w:pPr>
    <w:rPr>
      <w:sz w:val="16"/>
      <w:szCs w:val="16"/>
    </w:rPr>
  </w:style>
  <w:style w:type="character" w:customStyle="1" w:styleId="30">
    <w:name w:val="Основной текст с отступом 3 Знак"/>
    <w:basedOn w:val="a0"/>
    <w:link w:val="3"/>
    <w:uiPriority w:val="99"/>
    <w:semiHidden/>
    <w:rsid w:val="004B48BD"/>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E02E4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46701C56F8D8EE1C7A68AF8FEBCBC335380850ADFE975377F80154C59CA89434DF066880CE4EFD3xAw5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3200</Words>
  <Characters>18245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MSomova</dc:creator>
  <cp:lastModifiedBy>NTrotsenko</cp:lastModifiedBy>
  <cp:revision>6</cp:revision>
  <cp:lastPrinted>2013-06-26T04:12:00Z</cp:lastPrinted>
  <dcterms:created xsi:type="dcterms:W3CDTF">2013-06-26T04:04:00Z</dcterms:created>
  <dcterms:modified xsi:type="dcterms:W3CDTF">2013-06-27T21:37:00Z</dcterms:modified>
</cp:coreProperties>
</file>